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92A" w:rsidRPr="005B34C4" w:rsidRDefault="00AA1378" w:rsidP="00A8192A">
      <w:pPr>
        <w:rPr>
          <w:sz w:val="20"/>
        </w:rPr>
      </w:pPr>
      <w:r w:rsidRPr="005B34C4">
        <w:rPr>
          <w:sz w:val="20"/>
        </w:rPr>
        <w:t>To:</w:t>
      </w:r>
      <w:r w:rsidRPr="005B34C4">
        <w:rPr>
          <w:sz w:val="20"/>
        </w:rPr>
        <w:tab/>
      </w:r>
      <w:r w:rsidR="008520D3" w:rsidRPr="005B34C4">
        <w:rPr>
          <w:sz w:val="20"/>
        </w:rPr>
        <w:t>Debra Ness, President, NPWF</w:t>
      </w:r>
      <w:r w:rsidRPr="005B34C4">
        <w:rPr>
          <w:sz w:val="20"/>
        </w:rPr>
        <w:t xml:space="preserve"> </w:t>
      </w:r>
    </w:p>
    <w:p w:rsidR="00AA1378" w:rsidRPr="005B34C4" w:rsidRDefault="00AA1378" w:rsidP="00A8192A">
      <w:pPr>
        <w:rPr>
          <w:sz w:val="20"/>
        </w:rPr>
      </w:pPr>
      <w:r w:rsidRPr="005B34C4">
        <w:rPr>
          <w:sz w:val="20"/>
        </w:rPr>
        <w:t>From:</w:t>
      </w:r>
      <w:r w:rsidRPr="005B34C4">
        <w:rPr>
          <w:sz w:val="20"/>
        </w:rPr>
        <w:tab/>
      </w:r>
      <w:r w:rsidR="00D57D08" w:rsidRPr="005B34C4">
        <w:rPr>
          <w:sz w:val="20"/>
        </w:rPr>
        <w:t>Sarah Lipton</w:t>
      </w:r>
      <w:r w:rsidR="008520D3" w:rsidRPr="005B34C4">
        <w:rPr>
          <w:sz w:val="20"/>
        </w:rPr>
        <w:t>-Lubet, Director of Reproductive Health Programs, NPWF</w:t>
      </w:r>
    </w:p>
    <w:p w:rsidR="00AA1378" w:rsidRPr="005B34C4" w:rsidRDefault="00AA1378" w:rsidP="00A8192A">
      <w:pPr>
        <w:rPr>
          <w:sz w:val="20"/>
        </w:rPr>
      </w:pPr>
      <w:r w:rsidRPr="005B34C4">
        <w:rPr>
          <w:sz w:val="20"/>
        </w:rPr>
        <w:t>Date:</w:t>
      </w:r>
      <w:r w:rsidRPr="005B34C4">
        <w:rPr>
          <w:sz w:val="20"/>
        </w:rPr>
        <w:tab/>
      </w:r>
      <w:r w:rsidR="00D856FF" w:rsidRPr="005B34C4">
        <w:rPr>
          <w:sz w:val="20"/>
        </w:rPr>
        <w:t>July 1</w:t>
      </w:r>
      <w:r w:rsidRPr="005B34C4">
        <w:rPr>
          <w:sz w:val="20"/>
        </w:rPr>
        <w:t>, 2014</w:t>
      </w:r>
    </w:p>
    <w:p w:rsidR="00AA1378" w:rsidRPr="005B34C4" w:rsidRDefault="00AA1378" w:rsidP="00A8192A">
      <w:pPr>
        <w:pBdr>
          <w:bottom w:val="single" w:sz="6" w:space="1" w:color="auto"/>
        </w:pBdr>
        <w:rPr>
          <w:sz w:val="20"/>
        </w:rPr>
      </w:pPr>
      <w:r w:rsidRPr="005B34C4">
        <w:rPr>
          <w:sz w:val="20"/>
        </w:rPr>
        <w:t>Re:</w:t>
      </w:r>
      <w:r w:rsidRPr="005B34C4">
        <w:rPr>
          <w:sz w:val="20"/>
        </w:rPr>
        <w:tab/>
      </w:r>
      <w:bookmarkStart w:id="0" w:name="_GoBack"/>
      <w:r w:rsidRPr="005B34C4">
        <w:rPr>
          <w:i/>
          <w:sz w:val="20"/>
        </w:rPr>
        <w:t>Burwell v. Hobby Lobby</w:t>
      </w:r>
      <w:r w:rsidR="00A02A31" w:rsidRPr="005B34C4">
        <w:rPr>
          <w:i/>
          <w:sz w:val="20"/>
        </w:rPr>
        <w:t xml:space="preserve"> Stores, Inc., et al.</w:t>
      </w:r>
      <w:bookmarkEnd w:id="0"/>
    </w:p>
    <w:p w:rsidR="00AA1378" w:rsidRPr="005B34C4" w:rsidRDefault="00AA1378" w:rsidP="00A8192A">
      <w:pPr>
        <w:rPr>
          <w:sz w:val="20"/>
        </w:rPr>
      </w:pPr>
    </w:p>
    <w:p w:rsidR="00A02A31" w:rsidRPr="005B34C4" w:rsidRDefault="00D856FF" w:rsidP="00A8192A">
      <w:pPr>
        <w:rPr>
          <w:sz w:val="20"/>
        </w:rPr>
      </w:pPr>
      <w:r w:rsidRPr="005B34C4">
        <w:rPr>
          <w:sz w:val="20"/>
        </w:rPr>
        <w:t>Yesterday</w:t>
      </w:r>
      <w:r w:rsidR="00A02A31" w:rsidRPr="005B34C4">
        <w:rPr>
          <w:sz w:val="20"/>
        </w:rPr>
        <w:t xml:space="preserve">, the Supreme Court issued a decision in </w:t>
      </w:r>
      <w:r w:rsidR="00A02A31" w:rsidRPr="005B34C4">
        <w:rPr>
          <w:i/>
          <w:sz w:val="20"/>
        </w:rPr>
        <w:t>Burwell v. Hobby Lobby</w:t>
      </w:r>
      <w:r w:rsidR="000C0FE2" w:rsidRPr="005B34C4">
        <w:rPr>
          <w:i/>
          <w:sz w:val="20"/>
        </w:rPr>
        <w:t xml:space="preserve"> Stores, Inc., et al</w:t>
      </w:r>
      <w:r w:rsidR="00A02A31" w:rsidRPr="005B34C4">
        <w:rPr>
          <w:sz w:val="20"/>
        </w:rPr>
        <w:t xml:space="preserve">. In a </w:t>
      </w:r>
      <w:r w:rsidR="000C0FE2" w:rsidRPr="005B34C4">
        <w:rPr>
          <w:sz w:val="20"/>
        </w:rPr>
        <w:t xml:space="preserve">deeply split and devastating </w:t>
      </w:r>
      <w:r w:rsidR="00A02A31" w:rsidRPr="005B34C4">
        <w:rPr>
          <w:sz w:val="20"/>
        </w:rPr>
        <w:t xml:space="preserve">5-4 </w:t>
      </w:r>
      <w:r w:rsidR="000C0FE2" w:rsidRPr="005B34C4">
        <w:rPr>
          <w:sz w:val="20"/>
        </w:rPr>
        <w:t>decision</w:t>
      </w:r>
      <w:r w:rsidR="00A02A31" w:rsidRPr="005B34C4">
        <w:rPr>
          <w:sz w:val="20"/>
        </w:rPr>
        <w:t>, the Court ruled in favor of the petitioners, Hobby Lobby Stores</w:t>
      </w:r>
      <w:r w:rsidR="00E72EE8" w:rsidRPr="005B34C4">
        <w:rPr>
          <w:sz w:val="20"/>
        </w:rPr>
        <w:t>,</w:t>
      </w:r>
      <w:r w:rsidR="00A02A31" w:rsidRPr="005B34C4">
        <w:rPr>
          <w:sz w:val="20"/>
        </w:rPr>
        <w:t xml:space="preserve"> Inc. and Conestoga Wood Specialties Corp.</w:t>
      </w:r>
      <w:r w:rsidR="00A00DDA" w:rsidRPr="005B34C4">
        <w:rPr>
          <w:sz w:val="20"/>
        </w:rPr>
        <w:t>, holding that the federal contraceptive coverage rule violates the Religious Freedom Restoration Act by imposing a substantial burden on the petitioners’ religious exercise.</w:t>
      </w:r>
      <w:r w:rsidR="008C6B64" w:rsidRPr="005B34C4">
        <w:rPr>
          <w:sz w:val="20"/>
        </w:rPr>
        <w:t xml:space="preserve"> </w:t>
      </w:r>
      <w:r w:rsidR="00E64F95" w:rsidRPr="005B34C4">
        <w:rPr>
          <w:sz w:val="20"/>
        </w:rPr>
        <w:t xml:space="preserve">You can read the decision </w:t>
      </w:r>
      <w:hyperlink r:id="rId9" w:history="1">
        <w:r w:rsidR="00E64F95" w:rsidRPr="005B34C4">
          <w:rPr>
            <w:rStyle w:val="Hyperlink"/>
            <w:sz w:val="20"/>
          </w:rPr>
          <w:t>here</w:t>
        </w:r>
      </w:hyperlink>
      <w:r w:rsidR="00E64F95" w:rsidRPr="005B34C4">
        <w:rPr>
          <w:sz w:val="20"/>
        </w:rPr>
        <w:t>.</w:t>
      </w:r>
    </w:p>
    <w:p w:rsidR="00A02A31" w:rsidRPr="005B34C4" w:rsidRDefault="00A02A31" w:rsidP="00A8192A">
      <w:pPr>
        <w:rPr>
          <w:sz w:val="20"/>
        </w:rPr>
      </w:pPr>
    </w:p>
    <w:p w:rsidR="0015696F" w:rsidRPr="005B34C4" w:rsidRDefault="00A02A31" w:rsidP="00A8192A">
      <w:pPr>
        <w:rPr>
          <w:sz w:val="20"/>
        </w:rPr>
      </w:pPr>
      <w:r w:rsidRPr="005B34C4">
        <w:rPr>
          <w:b/>
          <w:sz w:val="20"/>
        </w:rPr>
        <w:t xml:space="preserve">Topline </w:t>
      </w:r>
      <w:r w:rsidR="00C25FB1" w:rsidRPr="005B34C4">
        <w:rPr>
          <w:b/>
          <w:sz w:val="20"/>
        </w:rPr>
        <w:t>Messages</w:t>
      </w:r>
      <w:r w:rsidR="0015696F" w:rsidRPr="005B34C4">
        <w:rPr>
          <w:sz w:val="20"/>
        </w:rPr>
        <w:t>:</w:t>
      </w:r>
    </w:p>
    <w:p w:rsidR="00397796" w:rsidRPr="005B34C4" w:rsidRDefault="00397796" w:rsidP="00A8192A">
      <w:pPr>
        <w:rPr>
          <w:sz w:val="20"/>
        </w:rPr>
      </w:pPr>
    </w:p>
    <w:p w:rsidR="00132AEC" w:rsidRPr="005B34C4" w:rsidRDefault="00213583" w:rsidP="00FE6BA5">
      <w:pPr>
        <w:pStyle w:val="ListParagraph"/>
        <w:numPr>
          <w:ilvl w:val="0"/>
          <w:numId w:val="19"/>
        </w:numPr>
        <w:rPr>
          <w:sz w:val="20"/>
        </w:rPr>
      </w:pPr>
      <w:r w:rsidRPr="005B34C4">
        <w:rPr>
          <w:sz w:val="20"/>
        </w:rPr>
        <w:t xml:space="preserve">The Supreme Court ruled </w:t>
      </w:r>
      <w:r w:rsidR="00D856FF" w:rsidRPr="005B34C4">
        <w:rPr>
          <w:sz w:val="20"/>
        </w:rPr>
        <w:t>yesterday</w:t>
      </w:r>
      <w:r w:rsidR="00E819B1" w:rsidRPr="005B34C4">
        <w:rPr>
          <w:sz w:val="20"/>
        </w:rPr>
        <w:t xml:space="preserve"> </w:t>
      </w:r>
      <w:r w:rsidRPr="005B34C4">
        <w:rPr>
          <w:sz w:val="20"/>
        </w:rPr>
        <w:t xml:space="preserve">that some bosses can withhold </w:t>
      </w:r>
      <w:r w:rsidR="00B8715B" w:rsidRPr="005B34C4">
        <w:rPr>
          <w:sz w:val="20"/>
        </w:rPr>
        <w:t xml:space="preserve">coverage for </w:t>
      </w:r>
      <w:r w:rsidRPr="005B34C4">
        <w:rPr>
          <w:sz w:val="20"/>
        </w:rPr>
        <w:t xml:space="preserve">contraceptive care from their employees’ health </w:t>
      </w:r>
      <w:r w:rsidR="00B8715B" w:rsidRPr="005B34C4">
        <w:rPr>
          <w:sz w:val="20"/>
        </w:rPr>
        <w:t>insurance</w:t>
      </w:r>
      <w:r w:rsidRPr="005B34C4">
        <w:rPr>
          <w:sz w:val="20"/>
        </w:rPr>
        <w:t xml:space="preserve"> based on their own religious beliefs that their employees may not share.  </w:t>
      </w:r>
      <w:r w:rsidR="00F46745" w:rsidRPr="005B34C4">
        <w:rPr>
          <w:sz w:val="20"/>
        </w:rPr>
        <w:t>Yesterday</w:t>
      </w:r>
      <w:r w:rsidR="00132AEC" w:rsidRPr="005B34C4">
        <w:rPr>
          <w:sz w:val="20"/>
        </w:rPr>
        <w:t>’s decision single</w:t>
      </w:r>
      <w:r w:rsidR="00190A20" w:rsidRPr="005B34C4">
        <w:rPr>
          <w:sz w:val="20"/>
        </w:rPr>
        <w:t>s</w:t>
      </w:r>
      <w:r w:rsidR="00132AEC" w:rsidRPr="005B34C4">
        <w:rPr>
          <w:sz w:val="20"/>
        </w:rPr>
        <w:t xml:space="preserve"> out birth control, and the women who need it</w:t>
      </w:r>
      <w:r w:rsidR="00FE6BA5" w:rsidRPr="005B34C4">
        <w:rPr>
          <w:sz w:val="20"/>
        </w:rPr>
        <w:t>,</w:t>
      </w:r>
      <w:r w:rsidR="00132AEC" w:rsidRPr="005B34C4">
        <w:rPr>
          <w:sz w:val="20"/>
        </w:rPr>
        <w:t xml:space="preserve"> for discrimination.</w:t>
      </w:r>
    </w:p>
    <w:p w:rsidR="00213583" w:rsidRPr="005B34C4" w:rsidRDefault="00213583" w:rsidP="00213583">
      <w:pPr>
        <w:rPr>
          <w:sz w:val="20"/>
        </w:rPr>
      </w:pPr>
    </w:p>
    <w:p w:rsidR="00213583" w:rsidRPr="005B34C4" w:rsidRDefault="00213583" w:rsidP="00FE6BA5">
      <w:pPr>
        <w:pStyle w:val="ListParagraph"/>
        <w:numPr>
          <w:ilvl w:val="0"/>
          <w:numId w:val="19"/>
        </w:numPr>
        <w:rPr>
          <w:sz w:val="20"/>
        </w:rPr>
      </w:pPr>
      <w:r w:rsidRPr="005B34C4">
        <w:rPr>
          <w:sz w:val="20"/>
        </w:rPr>
        <w:t>Birth control is a vital</w:t>
      </w:r>
      <w:r w:rsidR="00B8715B" w:rsidRPr="005B34C4">
        <w:rPr>
          <w:sz w:val="20"/>
        </w:rPr>
        <w:t xml:space="preserve"> part of women’s health car</w:t>
      </w:r>
      <w:r w:rsidR="00132AEC" w:rsidRPr="005B34C4">
        <w:rPr>
          <w:sz w:val="20"/>
        </w:rPr>
        <w:t>e</w:t>
      </w:r>
      <w:r w:rsidR="009C6BF0" w:rsidRPr="005B34C4">
        <w:rPr>
          <w:sz w:val="20"/>
        </w:rPr>
        <w:t>—</w:t>
      </w:r>
      <w:r w:rsidR="00B8715B" w:rsidRPr="005B34C4">
        <w:rPr>
          <w:sz w:val="20"/>
        </w:rPr>
        <w:t>99% of women use</w:t>
      </w:r>
      <w:r w:rsidR="009C6BF0" w:rsidRPr="005B34C4">
        <w:rPr>
          <w:sz w:val="20"/>
        </w:rPr>
        <w:t xml:space="preserve"> contraception</w:t>
      </w:r>
      <w:r w:rsidR="00B8715B" w:rsidRPr="005B34C4">
        <w:rPr>
          <w:sz w:val="20"/>
        </w:rPr>
        <w:t xml:space="preserve"> at some point in their lives.  It i</w:t>
      </w:r>
      <w:r w:rsidRPr="005B34C4">
        <w:rPr>
          <w:sz w:val="20"/>
        </w:rPr>
        <w:t>s covered by health plans without copays or deductibles under the regulations implementing the Affordable Care Act, allowing a woman and her doctor—not her boss—to decide what’s best.</w:t>
      </w:r>
    </w:p>
    <w:p w:rsidR="00213583" w:rsidRPr="005B34C4" w:rsidRDefault="00213583" w:rsidP="00213583">
      <w:pPr>
        <w:rPr>
          <w:sz w:val="20"/>
        </w:rPr>
      </w:pPr>
    </w:p>
    <w:p w:rsidR="00C25FB1" w:rsidRPr="005B34C4" w:rsidRDefault="00C25FB1" w:rsidP="00FE6BA5">
      <w:pPr>
        <w:pStyle w:val="ListParagraph"/>
        <w:numPr>
          <w:ilvl w:val="0"/>
          <w:numId w:val="19"/>
        </w:numPr>
        <w:rPr>
          <w:sz w:val="20"/>
        </w:rPr>
      </w:pPr>
      <w:r w:rsidRPr="005B34C4">
        <w:rPr>
          <w:sz w:val="20"/>
        </w:rPr>
        <w:t xml:space="preserve">More than </w:t>
      </w:r>
      <w:r w:rsidR="00EF63EC" w:rsidRPr="005B34C4">
        <w:rPr>
          <w:sz w:val="20"/>
        </w:rPr>
        <w:t>27</w:t>
      </w:r>
      <w:r w:rsidRPr="005B34C4">
        <w:rPr>
          <w:sz w:val="20"/>
        </w:rPr>
        <w:t xml:space="preserve"> million women </w:t>
      </w:r>
      <w:r w:rsidR="00EF63EC" w:rsidRPr="005B34C4">
        <w:rPr>
          <w:sz w:val="20"/>
        </w:rPr>
        <w:t xml:space="preserve">have already benefited from the ACA’s birth control provision, and it has saved women </w:t>
      </w:r>
      <w:r w:rsidR="009519F6" w:rsidRPr="005B34C4">
        <w:rPr>
          <w:sz w:val="20"/>
        </w:rPr>
        <w:t xml:space="preserve">over </w:t>
      </w:r>
      <w:r w:rsidR="00D87581" w:rsidRPr="005B34C4">
        <w:rPr>
          <w:sz w:val="20"/>
        </w:rPr>
        <w:t>$</w:t>
      </w:r>
      <w:r w:rsidR="00EF63EC" w:rsidRPr="005B34C4">
        <w:rPr>
          <w:sz w:val="20"/>
        </w:rPr>
        <w:t xml:space="preserve">480 </w:t>
      </w:r>
      <w:r w:rsidR="00D87581" w:rsidRPr="005B34C4">
        <w:rPr>
          <w:sz w:val="20"/>
        </w:rPr>
        <w:t>million</w:t>
      </w:r>
      <w:r w:rsidRPr="005B34C4">
        <w:rPr>
          <w:sz w:val="20"/>
        </w:rPr>
        <w:t>.</w:t>
      </w:r>
    </w:p>
    <w:p w:rsidR="00C25FB1" w:rsidRPr="005B34C4" w:rsidRDefault="00C25FB1" w:rsidP="00213583">
      <w:pPr>
        <w:rPr>
          <w:sz w:val="20"/>
        </w:rPr>
      </w:pPr>
    </w:p>
    <w:p w:rsidR="00213583" w:rsidRPr="005B34C4" w:rsidRDefault="00F46745" w:rsidP="00FE6BA5">
      <w:pPr>
        <w:pStyle w:val="ListParagraph"/>
        <w:numPr>
          <w:ilvl w:val="0"/>
          <w:numId w:val="19"/>
        </w:numPr>
        <w:rPr>
          <w:sz w:val="20"/>
        </w:rPr>
      </w:pPr>
      <w:r w:rsidRPr="005B34C4">
        <w:rPr>
          <w:sz w:val="20"/>
        </w:rPr>
        <w:t>Yesterday</w:t>
      </w:r>
      <w:r w:rsidR="00C25FB1" w:rsidRPr="005B34C4">
        <w:rPr>
          <w:sz w:val="20"/>
        </w:rPr>
        <w:t>’s</w:t>
      </w:r>
      <w:r w:rsidR="00B8715B" w:rsidRPr="005B34C4">
        <w:rPr>
          <w:sz w:val="20"/>
        </w:rPr>
        <w:t xml:space="preserve"> </w:t>
      </w:r>
      <w:r w:rsidR="005268DC" w:rsidRPr="005B34C4">
        <w:rPr>
          <w:sz w:val="20"/>
        </w:rPr>
        <w:t>decision</w:t>
      </w:r>
      <w:r w:rsidR="00B8715B" w:rsidRPr="005B34C4">
        <w:rPr>
          <w:sz w:val="20"/>
        </w:rPr>
        <w:t xml:space="preserve"> is unprecedented in terms of giving bosses the ability to interfere in their employees’ health care decisions.</w:t>
      </w:r>
      <w:r w:rsidR="00982F85" w:rsidRPr="005B34C4">
        <w:rPr>
          <w:sz w:val="20"/>
        </w:rPr>
        <w:t xml:space="preserve"> This decision threatens to embolden for-profit corporations to push the envelope even farther.</w:t>
      </w:r>
    </w:p>
    <w:p w:rsidR="005268DC" w:rsidRPr="005B34C4" w:rsidRDefault="005268DC" w:rsidP="00213583">
      <w:pPr>
        <w:rPr>
          <w:sz w:val="20"/>
        </w:rPr>
      </w:pPr>
    </w:p>
    <w:p w:rsidR="005268DC" w:rsidRPr="005B34C4" w:rsidRDefault="005268DC" w:rsidP="00FE6BA5">
      <w:pPr>
        <w:pStyle w:val="ListParagraph"/>
        <w:numPr>
          <w:ilvl w:val="0"/>
          <w:numId w:val="19"/>
        </w:numPr>
        <w:rPr>
          <w:sz w:val="20"/>
        </w:rPr>
      </w:pPr>
      <w:r w:rsidRPr="005B34C4">
        <w:rPr>
          <w:sz w:val="20"/>
        </w:rPr>
        <w:t xml:space="preserve">Although the </w:t>
      </w:r>
      <w:r w:rsidR="00AC0345" w:rsidRPr="005B34C4">
        <w:rPr>
          <w:sz w:val="20"/>
        </w:rPr>
        <w:t>C</w:t>
      </w:r>
      <w:r w:rsidRPr="005B34C4">
        <w:rPr>
          <w:sz w:val="20"/>
        </w:rPr>
        <w:t xml:space="preserve">ourt limited today’s decision to closely held corporations, these are not just mom and pop shops. As Justice Ginsburg pointed out, </w:t>
      </w:r>
      <w:r w:rsidR="000E15E6" w:rsidRPr="005B34C4">
        <w:rPr>
          <w:sz w:val="20"/>
        </w:rPr>
        <w:t xml:space="preserve">for example, </w:t>
      </w:r>
      <w:r w:rsidRPr="005B34C4">
        <w:rPr>
          <w:sz w:val="20"/>
        </w:rPr>
        <w:t>the candy giant Mars, Inc., is a family-owned business with 72,000 employees, and Cargill, Inc., is a closely held company with revenue</w:t>
      </w:r>
      <w:r w:rsidR="00FE6BA5" w:rsidRPr="005B34C4">
        <w:rPr>
          <w:sz w:val="20"/>
        </w:rPr>
        <w:t>s</w:t>
      </w:r>
      <w:r w:rsidRPr="005B34C4">
        <w:rPr>
          <w:sz w:val="20"/>
        </w:rPr>
        <w:t xml:space="preserve"> of $136 billion.</w:t>
      </w:r>
    </w:p>
    <w:p w:rsidR="00EF63EC" w:rsidRPr="005B34C4" w:rsidRDefault="00EF63EC" w:rsidP="00A8192A">
      <w:pPr>
        <w:rPr>
          <w:sz w:val="20"/>
        </w:rPr>
      </w:pPr>
    </w:p>
    <w:p w:rsidR="00982F85" w:rsidRPr="005B34C4" w:rsidRDefault="0033557C" w:rsidP="00FE6BA5">
      <w:pPr>
        <w:pStyle w:val="ListParagraph"/>
        <w:numPr>
          <w:ilvl w:val="0"/>
          <w:numId w:val="19"/>
        </w:numPr>
        <w:rPr>
          <w:sz w:val="20"/>
        </w:rPr>
      </w:pPr>
      <w:r w:rsidRPr="005B34C4">
        <w:rPr>
          <w:sz w:val="20"/>
        </w:rPr>
        <w:t xml:space="preserve">Despite </w:t>
      </w:r>
      <w:r w:rsidR="00F46745" w:rsidRPr="005B34C4">
        <w:rPr>
          <w:sz w:val="20"/>
        </w:rPr>
        <w:t>yesterday</w:t>
      </w:r>
      <w:r w:rsidRPr="005B34C4">
        <w:rPr>
          <w:sz w:val="20"/>
        </w:rPr>
        <w:t>’s dangerous and deeply troubling decision, the contraceptive coverage benefit remains in place for millions of women.</w:t>
      </w:r>
    </w:p>
    <w:p w:rsidR="007068A5" w:rsidRPr="005B34C4" w:rsidRDefault="007068A5" w:rsidP="00A8192A">
      <w:pPr>
        <w:rPr>
          <w:sz w:val="20"/>
        </w:rPr>
      </w:pPr>
    </w:p>
    <w:p w:rsidR="00E72EE8" w:rsidRPr="005B34C4" w:rsidRDefault="00E72EE8" w:rsidP="00A8192A">
      <w:pPr>
        <w:rPr>
          <w:b/>
          <w:sz w:val="20"/>
        </w:rPr>
      </w:pPr>
    </w:p>
    <w:p w:rsidR="00C25FB1" w:rsidRPr="005B34C4" w:rsidRDefault="00C25FB1" w:rsidP="00A8192A">
      <w:pPr>
        <w:rPr>
          <w:sz w:val="20"/>
        </w:rPr>
      </w:pPr>
      <w:r w:rsidRPr="005B34C4">
        <w:rPr>
          <w:b/>
          <w:sz w:val="20"/>
        </w:rPr>
        <w:t>Analysis</w:t>
      </w:r>
      <w:r w:rsidRPr="005B34C4">
        <w:rPr>
          <w:sz w:val="20"/>
        </w:rPr>
        <w:t>:</w:t>
      </w:r>
    </w:p>
    <w:p w:rsidR="00C25FB1" w:rsidRPr="005B34C4" w:rsidRDefault="00C25FB1" w:rsidP="00A8192A">
      <w:pPr>
        <w:rPr>
          <w:sz w:val="20"/>
        </w:rPr>
      </w:pPr>
    </w:p>
    <w:p w:rsidR="0033557C" w:rsidRPr="005B34C4" w:rsidRDefault="0033557C" w:rsidP="0033557C">
      <w:pPr>
        <w:rPr>
          <w:sz w:val="20"/>
        </w:rPr>
      </w:pPr>
      <w:r w:rsidRPr="005B34C4">
        <w:rPr>
          <w:sz w:val="20"/>
        </w:rPr>
        <w:t xml:space="preserve">There were a total of five opinions in </w:t>
      </w:r>
      <w:r w:rsidR="00A77EA3" w:rsidRPr="005B34C4">
        <w:rPr>
          <w:sz w:val="20"/>
        </w:rPr>
        <w:t xml:space="preserve">the </w:t>
      </w:r>
      <w:r w:rsidR="00A77EA3" w:rsidRPr="005B34C4">
        <w:rPr>
          <w:i/>
          <w:sz w:val="20"/>
        </w:rPr>
        <w:t>Hobby Lobby</w:t>
      </w:r>
      <w:r w:rsidRPr="005B34C4">
        <w:rPr>
          <w:sz w:val="20"/>
        </w:rPr>
        <w:t xml:space="preserve"> decision:</w:t>
      </w:r>
    </w:p>
    <w:p w:rsidR="00ED06D3" w:rsidRPr="005B34C4" w:rsidRDefault="00ED06D3" w:rsidP="0033557C">
      <w:pPr>
        <w:rPr>
          <w:sz w:val="20"/>
        </w:rPr>
      </w:pPr>
    </w:p>
    <w:p w:rsidR="0033557C" w:rsidRPr="005B34C4" w:rsidRDefault="0033557C" w:rsidP="0033557C">
      <w:pPr>
        <w:pStyle w:val="ListParagraph"/>
        <w:numPr>
          <w:ilvl w:val="0"/>
          <w:numId w:val="18"/>
        </w:numPr>
        <w:rPr>
          <w:sz w:val="20"/>
        </w:rPr>
      </w:pPr>
      <w:r w:rsidRPr="005B34C4">
        <w:rPr>
          <w:sz w:val="20"/>
        </w:rPr>
        <w:t xml:space="preserve">Justice Alito delivered the opinion of the Court, in which Justices Roberts, Scalia, Kennedy, and Thomas joined. </w:t>
      </w:r>
    </w:p>
    <w:p w:rsidR="0033557C" w:rsidRPr="005B34C4" w:rsidRDefault="0033557C" w:rsidP="0033557C">
      <w:pPr>
        <w:pStyle w:val="ListParagraph"/>
        <w:numPr>
          <w:ilvl w:val="0"/>
          <w:numId w:val="18"/>
        </w:numPr>
        <w:rPr>
          <w:sz w:val="20"/>
        </w:rPr>
      </w:pPr>
      <w:r w:rsidRPr="005B34C4">
        <w:rPr>
          <w:sz w:val="20"/>
        </w:rPr>
        <w:t xml:space="preserve">Justice Kennedy filed a concurring opinion. </w:t>
      </w:r>
    </w:p>
    <w:p w:rsidR="0033557C" w:rsidRPr="005B34C4" w:rsidRDefault="0033557C" w:rsidP="0033557C">
      <w:pPr>
        <w:pStyle w:val="ListParagraph"/>
        <w:numPr>
          <w:ilvl w:val="0"/>
          <w:numId w:val="18"/>
        </w:numPr>
        <w:rPr>
          <w:sz w:val="20"/>
        </w:rPr>
      </w:pPr>
      <w:r w:rsidRPr="005B34C4">
        <w:rPr>
          <w:sz w:val="20"/>
        </w:rPr>
        <w:lastRenderedPageBreak/>
        <w:t xml:space="preserve">Justice Ginsburg filed a dissenting opinion, in which Justice Sotomayor joined in full, and Justices Breyer and Kagan joined as to all but Part III-C-1. </w:t>
      </w:r>
    </w:p>
    <w:p w:rsidR="0033557C" w:rsidRPr="005B34C4" w:rsidRDefault="0033557C" w:rsidP="0033557C">
      <w:pPr>
        <w:pStyle w:val="ListParagraph"/>
        <w:numPr>
          <w:ilvl w:val="0"/>
          <w:numId w:val="18"/>
        </w:numPr>
        <w:rPr>
          <w:sz w:val="20"/>
        </w:rPr>
      </w:pPr>
      <w:r w:rsidRPr="005B34C4">
        <w:rPr>
          <w:sz w:val="20"/>
        </w:rPr>
        <w:t>Justices Breyer and Kagan filed a dissenting opinion.</w:t>
      </w:r>
    </w:p>
    <w:p w:rsidR="0033557C" w:rsidRPr="005B34C4" w:rsidRDefault="0033557C" w:rsidP="00A8192A">
      <w:pPr>
        <w:rPr>
          <w:sz w:val="20"/>
        </w:rPr>
      </w:pPr>
    </w:p>
    <w:p w:rsidR="00285100" w:rsidRPr="005B34C4" w:rsidRDefault="004407D3" w:rsidP="00A8192A">
      <w:pPr>
        <w:rPr>
          <w:sz w:val="20"/>
        </w:rPr>
      </w:pPr>
      <w:r w:rsidRPr="005B34C4">
        <w:rPr>
          <w:sz w:val="20"/>
        </w:rPr>
        <w:t>Th</w:t>
      </w:r>
      <w:r w:rsidR="0033557C" w:rsidRPr="005B34C4">
        <w:rPr>
          <w:sz w:val="20"/>
        </w:rPr>
        <w:t>e</w:t>
      </w:r>
      <w:r w:rsidRPr="005B34C4">
        <w:rPr>
          <w:sz w:val="20"/>
        </w:rPr>
        <w:t xml:space="preserve"> case posed fo</w:t>
      </w:r>
      <w:r w:rsidR="00BD62D8" w:rsidRPr="005B34C4">
        <w:rPr>
          <w:sz w:val="20"/>
        </w:rPr>
        <w:t>u</w:t>
      </w:r>
      <w:r w:rsidRPr="005B34C4">
        <w:rPr>
          <w:sz w:val="20"/>
        </w:rPr>
        <w:t xml:space="preserve">r questions: (1) </w:t>
      </w:r>
      <w:r w:rsidR="0033557C" w:rsidRPr="005B34C4">
        <w:rPr>
          <w:sz w:val="20"/>
        </w:rPr>
        <w:t xml:space="preserve">Can a for-profit corporation </w:t>
      </w:r>
      <w:r w:rsidR="00132AEC" w:rsidRPr="005B34C4">
        <w:rPr>
          <w:sz w:val="20"/>
        </w:rPr>
        <w:t xml:space="preserve">bring a claim under the Religious Freedom Restoration Act? (2) Does the contraceptive coverage rule substantially burden the corporations’ exercise of religion? (3) Does the contraceptive coverage rule serve a compelling government interest? (4) </w:t>
      </w:r>
      <w:r w:rsidR="00025BAF" w:rsidRPr="005B34C4">
        <w:rPr>
          <w:sz w:val="20"/>
        </w:rPr>
        <w:t>Is the contraceptive coverage rule the least restrictive means of furthering the government’s interest?</w:t>
      </w:r>
    </w:p>
    <w:p w:rsidR="00025BAF" w:rsidRPr="005B34C4" w:rsidRDefault="00025BAF" w:rsidP="00A8192A">
      <w:pPr>
        <w:rPr>
          <w:sz w:val="20"/>
        </w:rPr>
      </w:pPr>
    </w:p>
    <w:p w:rsidR="00025BAF" w:rsidRPr="005B34C4" w:rsidRDefault="00025BAF" w:rsidP="00A8192A">
      <w:pPr>
        <w:rPr>
          <w:sz w:val="20"/>
        </w:rPr>
      </w:pPr>
      <w:r w:rsidRPr="005B34C4">
        <w:rPr>
          <w:sz w:val="20"/>
        </w:rPr>
        <w:t>In brief, the majority held: (1) Yes, a for-profit corporation can bring religious exercise claim. (2) Yes, the contraceptive coverage rule does impose a substantial burden. (3) The Court does not have to answer the question of whether the rule serves a compelling interest, because (4) the contraceptive coverage rule fails the least restrictive means test.</w:t>
      </w:r>
    </w:p>
    <w:p w:rsidR="006A1F8F" w:rsidRPr="005B34C4" w:rsidRDefault="006A1F8F" w:rsidP="00A8192A">
      <w:pPr>
        <w:rPr>
          <w:sz w:val="20"/>
        </w:rPr>
      </w:pPr>
    </w:p>
    <w:p w:rsidR="000C0FE2" w:rsidRPr="005B34C4" w:rsidRDefault="006E4543" w:rsidP="00A8192A">
      <w:pPr>
        <w:rPr>
          <w:sz w:val="20"/>
        </w:rPr>
      </w:pPr>
      <w:r w:rsidRPr="005B34C4">
        <w:rPr>
          <w:sz w:val="20"/>
        </w:rPr>
        <w:t xml:space="preserve">Justice Alito, writing for the majority, </w:t>
      </w:r>
      <w:r w:rsidR="000C0FE2" w:rsidRPr="005B34C4">
        <w:rPr>
          <w:sz w:val="20"/>
        </w:rPr>
        <w:t>asserted that contraception alone—and the women who need it—can be singled out for worse treatment:</w:t>
      </w:r>
    </w:p>
    <w:p w:rsidR="003C6A3F" w:rsidRPr="005B34C4" w:rsidRDefault="003C6A3F" w:rsidP="00A8192A">
      <w:pPr>
        <w:rPr>
          <w:sz w:val="20"/>
        </w:rPr>
      </w:pPr>
    </w:p>
    <w:p w:rsidR="00B954A3" w:rsidRPr="005B34C4" w:rsidRDefault="008D5014" w:rsidP="009B27EF">
      <w:pPr>
        <w:ind w:left="720"/>
        <w:rPr>
          <w:sz w:val="20"/>
        </w:rPr>
      </w:pPr>
      <w:r w:rsidRPr="005B34C4">
        <w:rPr>
          <w:sz w:val="20"/>
        </w:rPr>
        <w:t>“[O]ur decision in these cases is concerned solely with the contraceptive mandate. Our decision should not be understood to hold that an insurance-coverage mandate must necessarily fall if it conflicts with an employer’s religious beliefs. Other coverage requirements, such as immunizations, may be supported by different interests (for example, the need to combat the spread of infectious diseases) and may involve different arguments about the least restrictive means of providing them.</w:t>
      </w:r>
      <w:r w:rsidR="009B27EF" w:rsidRPr="005B34C4">
        <w:rPr>
          <w:sz w:val="20"/>
        </w:rPr>
        <w:t xml:space="preserve"> . . . </w:t>
      </w:r>
      <w:r w:rsidR="00B954A3" w:rsidRPr="005B34C4">
        <w:rPr>
          <w:sz w:val="20"/>
        </w:rPr>
        <w:t>The Government has a compelling interest in providing an equal opportunity to participate in the workforce without regard to race, and prohibitions on racial discrimination are precisely tailored to achieve that critical goal.”</w:t>
      </w:r>
    </w:p>
    <w:p w:rsidR="009B27EF" w:rsidRPr="005B34C4" w:rsidRDefault="009B27EF" w:rsidP="009B27EF">
      <w:pPr>
        <w:rPr>
          <w:sz w:val="20"/>
        </w:rPr>
      </w:pPr>
    </w:p>
    <w:p w:rsidR="009B27EF" w:rsidRPr="005B34C4" w:rsidRDefault="000C0FE2" w:rsidP="009B27EF">
      <w:pPr>
        <w:rPr>
          <w:sz w:val="20"/>
        </w:rPr>
      </w:pPr>
      <w:r w:rsidRPr="005B34C4">
        <w:rPr>
          <w:sz w:val="20"/>
        </w:rPr>
        <w:t>Contrary to his assertion</w:t>
      </w:r>
      <w:r w:rsidR="007E51A6" w:rsidRPr="005B34C4">
        <w:rPr>
          <w:sz w:val="20"/>
        </w:rPr>
        <w:t xml:space="preserve">, </w:t>
      </w:r>
      <w:r w:rsidR="00C0386F" w:rsidRPr="005B34C4">
        <w:rPr>
          <w:sz w:val="20"/>
        </w:rPr>
        <w:t>the Court</w:t>
      </w:r>
      <w:r w:rsidR="007E51A6" w:rsidRPr="005B34C4">
        <w:rPr>
          <w:sz w:val="20"/>
        </w:rPr>
        <w:t>’s decision is likely to embolden other for-profit corporations to try to use religion as a license to discriminate, and nothing in th</w:t>
      </w:r>
      <w:r w:rsidR="00807135" w:rsidRPr="005B34C4">
        <w:rPr>
          <w:sz w:val="20"/>
        </w:rPr>
        <w:t>e</w:t>
      </w:r>
      <w:r w:rsidR="007E51A6" w:rsidRPr="005B34C4">
        <w:rPr>
          <w:sz w:val="20"/>
        </w:rPr>
        <w:t xml:space="preserve"> dicta at the end of </w:t>
      </w:r>
      <w:r w:rsidR="00A00A05" w:rsidRPr="005B34C4">
        <w:rPr>
          <w:sz w:val="20"/>
        </w:rPr>
        <w:t xml:space="preserve">Justice </w:t>
      </w:r>
      <w:r w:rsidR="007E51A6" w:rsidRPr="005B34C4">
        <w:rPr>
          <w:sz w:val="20"/>
        </w:rPr>
        <w:t xml:space="preserve">Alito’s opinion </w:t>
      </w:r>
      <w:r w:rsidR="001D5CA0" w:rsidRPr="005B34C4">
        <w:rPr>
          <w:sz w:val="20"/>
        </w:rPr>
        <w:t>prevents that</w:t>
      </w:r>
      <w:r w:rsidR="007E51A6" w:rsidRPr="005B34C4">
        <w:rPr>
          <w:sz w:val="20"/>
        </w:rPr>
        <w:t>.</w:t>
      </w:r>
    </w:p>
    <w:p w:rsidR="008D5014" w:rsidRPr="005B34C4" w:rsidRDefault="008D5014" w:rsidP="00A8192A">
      <w:pPr>
        <w:rPr>
          <w:sz w:val="20"/>
        </w:rPr>
      </w:pPr>
    </w:p>
    <w:p w:rsidR="004B5B15" w:rsidRPr="005B34C4" w:rsidRDefault="004B5B15" w:rsidP="00A8192A">
      <w:pPr>
        <w:rPr>
          <w:sz w:val="20"/>
        </w:rPr>
      </w:pPr>
      <w:r w:rsidRPr="005B34C4">
        <w:rPr>
          <w:sz w:val="20"/>
        </w:rPr>
        <w:t xml:space="preserve">Justice Kennedy’s concurrence highlights his belief that although the government </w:t>
      </w:r>
      <w:r w:rsidRPr="005B34C4">
        <w:rPr>
          <w:i/>
          <w:sz w:val="20"/>
        </w:rPr>
        <w:t>does</w:t>
      </w:r>
      <w:r w:rsidRPr="005B34C4">
        <w:rPr>
          <w:sz w:val="20"/>
        </w:rPr>
        <w:t xml:space="preserve"> have a compelling interest in women’s health (a point the majority sidesteps), </w:t>
      </w:r>
      <w:r w:rsidR="003175A6" w:rsidRPr="005B34C4">
        <w:rPr>
          <w:sz w:val="20"/>
        </w:rPr>
        <w:t>the contraceptive coverage rule was not the least restrictive means to further that interest.</w:t>
      </w:r>
    </w:p>
    <w:p w:rsidR="004B5B15" w:rsidRPr="005B34C4" w:rsidRDefault="004B5B15" w:rsidP="00A8192A">
      <w:pPr>
        <w:rPr>
          <w:sz w:val="20"/>
        </w:rPr>
      </w:pPr>
    </w:p>
    <w:p w:rsidR="0014774A" w:rsidRPr="005B34C4" w:rsidRDefault="0014774A" w:rsidP="0014774A">
      <w:pPr>
        <w:rPr>
          <w:sz w:val="20"/>
        </w:rPr>
      </w:pPr>
      <w:r w:rsidRPr="005B34C4">
        <w:rPr>
          <w:sz w:val="20"/>
        </w:rPr>
        <w:t xml:space="preserve">Justice Ginsburg’s dissent highlights the actual implications of the Court’s decision, calling it “a decision of startling breadth,” and </w:t>
      </w:r>
      <w:r w:rsidR="008A1189" w:rsidRPr="005B34C4">
        <w:rPr>
          <w:sz w:val="20"/>
        </w:rPr>
        <w:t xml:space="preserve">explaining </w:t>
      </w:r>
      <w:r w:rsidRPr="005B34C4">
        <w:rPr>
          <w:sz w:val="20"/>
        </w:rPr>
        <w:t>that the Court “has ventured into a minefield.” She counters the majority opinion on each of the four questions laid out above.</w:t>
      </w:r>
    </w:p>
    <w:p w:rsidR="0014774A" w:rsidRPr="005B34C4" w:rsidRDefault="0014774A" w:rsidP="0014774A">
      <w:pPr>
        <w:rPr>
          <w:sz w:val="20"/>
        </w:rPr>
      </w:pPr>
    </w:p>
    <w:p w:rsidR="0014774A" w:rsidRPr="005B34C4" w:rsidRDefault="0014774A" w:rsidP="0014774A">
      <w:pPr>
        <w:rPr>
          <w:sz w:val="20"/>
        </w:rPr>
      </w:pPr>
      <w:r w:rsidRPr="005B34C4">
        <w:rPr>
          <w:sz w:val="20"/>
        </w:rPr>
        <w:t>Last, Justices Breyer and Kagan wrote separately to say that although they agree with Justice Ginsburg that Hobby Lobby’s challenge to the contraceptive coverage rule should have failed, they do not think it is necessary to decide whether or not for-profit corporations can bring claims under the Religious Freedom Restoration Act.</w:t>
      </w:r>
    </w:p>
    <w:p w:rsidR="0014774A" w:rsidRPr="005B34C4" w:rsidRDefault="0014774A" w:rsidP="00A8192A">
      <w:pPr>
        <w:rPr>
          <w:sz w:val="20"/>
        </w:rPr>
      </w:pPr>
    </w:p>
    <w:p w:rsidR="00AE42E4" w:rsidRPr="005B34C4" w:rsidRDefault="0003767C" w:rsidP="00A8192A">
      <w:pPr>
        <w:rPr>
          <w:sz w:val="20"/>
        </w:rPr>
      </w:pPr>
      <w:r w:rsidRPr="005B34C4">
        <w:rPr>
          <w:sz w:val="20"/>
        </w:rPr>
        <w:t>While we are continuing to analyze the implications of this decision, it is clear that it is a severe and significant setback for women’s health and equality.</w:t>
      </w:r>
    </w:p>
    <w:sectPr w:rsidR="00AE42E4" w:rsidRPr="005B34C4" w:rsidSect="005B34C4">
      <w:headerReference w:type="even" r:id="rId10"/>
      <w:headerReference w:type="default" r:id="rId11"/>
      <w:footerReference w:type="even" r:id="rId12"/>
      <w:footerReference w:type="default" r:id="rId13"/>
      <w:endnotePr>
        <w:numFmt w:val="decimal"/>
      </w:endnotePr>
      <w:pgSz w:w="12240" w:h="15840"/>
      <w:pgMar w:top="27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7E7" w:rsidRDefault="00FE77E7" w:rsidP="00B47BA5">
      <w:r>
        <w:separator/>
      </w:r>
    </w:p>
  </w:endnote>
  <w:endnote w:type="continuationSeparator" w:id="0">
    <w:p w:rsidR="00FE77E7" w:rsidRDefault="00FE77E7" w:rsidP="00B47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wCenMT-Bold">
    <w:altName w:val="Tw Cen MT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Bold">
    <w:panose1 w:val="020B0802040204020203"/>
    <w:charset w:val="00"/>
    <w:family w:val="auto"/>
    <w:pitch w:val="variable"/>
    <w:sig w:usb0="E00002FF" w:usb1="4000205B"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4C4" w:rsidRPr="00B5064B" w:rsidRDefault="005B34C4" w:rsidP="00F44DBD">
    <w:pPr>
      <w:pStyle w:val="Footer"/>
      <w:framePr w:h="346" w:hRule="exact" w:wrap="around" w:vAnchor="text" w:hAnchor="page" w:x="10340" w:y="87"/>
      <w:rPr>
        <w:rStyle w:val="PageNumber"/>
        <w:b/>
        <w:caps/>
      </w:rPr>
    </w:pPr>
    <w:r>
      <w:rPr>
        <w:rStyle w:val="PageNumber"/>
        <w:rFonts w:ascii="Segoe UI Bold" w:hAnsi="Segoe UI Bold"/>
      </w:rPr>
      <w:t xml:space="preserve">         Page 2 of 2</w:t>
    </w:r>
  </w:p>
  <w:p w:rsidR="005B34C4" w:rsidRPr="00F44DBD" w:rsidRDefault="005B34C4" w:rsidP="005B34C4">
    <w:pPr>
      <w:pStyle w:val="Footer"/>
      <w:pBdr>
        <w:top w:val="single" w:sz="4" w:space="4" w:color="BFBFBF"/>
      </w:pBdr>
      <w:jc w:val="right"/>
      <w:rPr>
        <w:rStyle w:val="FS-EndnoteText"/>
        <w:b/>
      </w:rPr>
    </w:pPr>
    <w:r w:rsidRPr="00F44DBD">
      <w:rPr>
        <w:rStyle w:val="FS-EndnoteText"/>
        <w:b/>
        <w:sz w:val="14"/>
      </w:rPr>
      <w:t xml:space="preserve">NATIONAL PARTNERSHIP FOR WOMEN &amp; </w:t>
    </w:r>
    <w:proofErr w:type="gramStart"/>
    <w:r w:rsidRPr="00F44DBD">
      <w:rPr>
        <w:rStyle w:val="FS-EndnoteText"/>
        <w:b/>
        <w:sz w:val="14"/>
      </w:rPr>
      <w:t>FAMILIES  |</w:t>
    </w:r>
    <w:proofErr w:type="gramEnd"/>
    <w:r w:rsidRPr="00F44DBD">
      <w:rPr>
        <w:rStyle w:val="FS-EndnoteText"/>
        <w:b/>
        <w:sz w:val="14"/>
      </w:rPr>
      <w:t xml:space="preserve">  </w:t>
    </w:r>
    <w:r w:rsidRPr="00F44DBD">
      <w:rPr>
        <w:rStyle w:val="FS-EndnoteText"/>
        <w:b/>
        <w:sz w:val="14"/>
      </w:rPr>
      <w:tab/>
    </w:r>
  </w:p>
  <w:p w:rsidR="005B34C4" w:rsidRPr="00F44DBD" w:rsidRDefault="005B34C4" w:rsidP="00F44DBD">
    <w:pPr>
      <w:pStyle w:val="Footer"/>
    </w:pPr>
  </w:p>
  <w:p w:rsidR="005B34C4" w:rsidRDefault="005B34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EE8" w:rsidRPr="005B34C4" w:rsidRDefault="00E72EE8" w:rsidP="00F44DBD">
    <w:pPr>
      <w:pStyle w:val="Footer"/>
      <w:framePr w:h="346" w:hRule="exact" w:wrap="around" w:vAnchor="text" w:hAnchor="page" w:x="10340" w:y="87"/>
      <w:rPr>
        <w:rStyle w:val="PageNumber"/>
        <w:rFonts w:ascii="Segoe UI Bold" w:hAnsi="Segoe UI Bold"/>
      </w:rPr>
    </w:pPr>
    <w:r>
      <w:rPr>
        <w:rStyle w:val="PageNumber"/>
        <w:rFonts w:ascii="Segoe UI Bold" w:hAnsi="Segoe UI Bold"/>
      </w:rPr>
      <w:t xml:space="preserve">        </w:t>
    </w:r>
    <w:r w:rsidR="005B34C4">
      <w:rPr>
        <w:rStyle w:val="PageNumber"/>
        <w:rFonts w:ascii="Segoe UI Bold" w:hAnsi="Segoe UI Bold"/>
      </w:rPr>
      <w:t xml:space="preserve">Page </w:t>
    </w:r>
    <w:r w:rsidRPr="00B5064B">
      <w:rPr>
        <w:rStyle w:val="PageNumber"/>
        <w:rFonts w:ascii="Segoe UI Bold" w:hAnsi="Segoe UI Bold"/>
      </w:rPr>
      <w:fldChar w:fldCharType="begin"/>
    </w:r>
    <w:r w:rsidRPr="00B5064B">
      <w:rPr>
        <w:rStyle w:val="PageNumber"/>
        <w:rFonts w:ascii="Segoe UI Bold" w:hAnsi="Segoe UI Bold"/>
      </w:rPr>
      <w:instrText xml:space="preserve">PAGE  </w:instrText>
    </w:r>
    <w:r w:rsidRPr="00B5064B">
      <w:rPr>
        <w:rStyle w:val="PageNumber"/>
        <w:rFonts w:ascii="Segoe UI Bold" w:hAnsi="Segoe UI Bold"/>
      </w:rPr>
      <w:fldChar w:fldCharType="separate"/>
    </w:r>
    <w:r w:rsidR="005B34C4">
      <w:rPr>
        <w:rStyle w:val="PageNumber"/>
        <w:rFonts w:ascii="Segoe UI Bold" w:hAnsi="Segoe UI Bold"/>
        <w:noProof/>
      </w:rPr>
      <w:t>1</w:t>
    </w:r>
    <w:r w:rsidRPr="00B5064B">
      <w:rPr>
        <w:rStyle w:val="PageNumber"/>
        <w:rFonts w:ascii="Segoe UI Bold" w:hAnsi="Segoe UI Bold"/>
      </w:rPr>
      <w:fldChar w:fldCharType="end"/>
    </w:r>
    <w:r w:rsidR="005B34C4">
      <w:rPr>
        <w:rStyle w:val="PageNumber"/>
        <w:rFonts w:ascii="Segoe UI Bold" w:hAnsi="Segoe UI Bold"/>
      </w:rPr>
      <w:t xml:space="preserve"> of 2</w:t>
    </w:r>
  </w:p>
  <w:p w:rsidR="00E72EE8" w:rsidRPr="00F44DBD" w:rsidRDefault="00E72EE8" w:rsidP="00E72EE8">
    <w:pPr>
      <w:pStyle w:val="Footer"/>
      <w:pBdr>
        <w:top w:val="single" w:sz="4" w:space="4" w:color="BFBFBF"/>
      </w:pBdr>
      <w:jc w:val="right"/>
      <w:rPr>
        <w:rStyle w:val="FS-EndnoteText"/>
        <w:b/>
      </w:rPr>
    </w:pPr>
    <w:r w:rsidRPr="00F44DBD">
      <w:rPr>
        <w:rStyle w:val="FS-EndnoteText"/>
        <w:b/>
        <w:sz w:val="14"/>
      </w:rPr>
      <w:t xml:space="preserve">NATIONAL PARTNERSHIP FOR WOMEN &amp; </w:t>
    </w:r>
    <w:proofErr w:type="gramStart"/>
    <w:r w:rsidRPr="00F44DBD">
      <w:rPr>
        <w:rStyle w:val="FS-EndnoteText"/>
        <w:b/>
        <w:sz w:val="14"/>
      </w:rPr>
      <w:t>FAMILIES  |</w:t>
    </w:r>
    <w:proofErr w:type="gramEnd"/>
    <w:r w:rsidRPr="00F44DBD">
      <w:rPr>
        <w:rStyle w:val="FS-EndnoteText"/>
        <w:b/>
        <w:sz w:val="14"/>
      </w:rPr>
      <w:t xml:space="preserve">  </w:t>
    </w:r>
    <w:r w:rsidRPr="00F44DBD">
      <w:rPr>
        <w:rStyle w:val="FS-EndnoteText"/>
        <w:b/>
        <w:sz w:val="14"/>
      </w:rPr>
      <w:tab/>
    </w:r>
  </w:p>
  <w:p w:rsidR="00E72EE8" w:rsidRPr="00F44DBD" w:rsidRDefault="00E72EE8" w:rsidP="00F44DBD">
    <w:pPr>
      <w:pStyle w:val="Footer"/>
    </w:pPr>
  </w:p>
  <w:p w:rsidR="00E72EE8" w:rsidRDefault="00E72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7E7" w:rsidRDefault="00FE77E7" w:rsidP="00B47BA5">
      <w:r>
        <w:separator/>
      </w:r>
    </w:p>
  </w:footnote>
  <w:footnote w:type="continuationSeparator" w:id="0">
    <w:p w:rsidR="00FE77E7" w:rsidRDefault="00FE77E7" w:rsidP="00B47B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EE8" w:rsidRDefault="00E72EE8">
    <w:pPr>
      <w:pStyle w:val="Header"/>
    </w:pPr>
    <w:r>
      <w:rPr>
        <w:noProof/>
        <w:szCs w:val="20"/>
      </w:rPr>
      <w:drawing>
        <wp:anchor distT="0" distB="320040" distL="114300" distR="114300" simplePos="0" relativeHeight="251661312" behindDoc="1" locked="0" layoutInCell="1" allowOverlap="1" wp14:anchorId="599605FC" wp14:editId="6B707AAC">
          <wp:simplePos x="0" y="0"/>
          <wp:positionH relativeFrom="page">
            <wp:posOffset>-7620</wp:posOffset>
          </wp:positionH>
          <wp:positionV relativeFrom="page">
            <wp:posOffset>154940</wp:posOffset>
          </wp:positionV>
          <wp:extent cx="7772400" cy="1073150"/>
          <wp:effectExtent l="0" t="0" r="0" b="0"/>
          <wp:wrapTopAndBottom/>
          <wp:docPr id="6" name="Picture 5" descr="NPWF_Wave_FactSheet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PWF_Wave_FactSheet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73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EE8" w:rsidRDefault="00E72EE8">
    <w:pPr>
      <w:pStyle w:val="Header"/>
    </w:pPr>
    <w:r>
      <w:rPr>
        <w:noProof/>
      </w:rPr>
      <w:drawing>
        <wp:anchor distT="0" distB="0" distL="114300" distR="114300" simplePos="0" relativeHeight="251659264" behindDoc="0" locked="0" layoutInCell="1" allowOverlap="1" wp14:anchorId="551F086D" wp14:editId="229325D3">
          <wp:simplePos x="0" y="0"/>
          <wp:positionH relativeFrom="leftMargin">
            <wp:posOffset>457200</wp:posOffset>
          </wp:positionH>
          <wp:positionV relativeFrom="topMargin">
            <wp:posOffset>457200</wp:posOffset>
          </wp:positionV>
          <wp:extent cx="2139696" cy="1078992"/>
          <wp:effectExtent l="0" t="0" r="0" b="6985"/>
          <wp:wrapNone/>
          <wp:docPr id="7" name="Picture 7" descr="final logo taglin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 logo tagline_smal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39696" cy="107899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41DD6"/>
    <w:multiLevelType w:val="hybridMultilevel"/>
    <w:tmpl w:val="DBA62B00"/>
    <w:lvl w:ilvl="0" w:tplc="31E0B052">
      <w:numFmt w:val="bullet"/>
      <w:lvlText w:val="-"/>
      <w:lvlJc w:val="left"/>
      <w:pPr>
        <w:ind w:left="720" w:hanging="360"/>
      </w:pPr>
      <w:rPr>
        <w:rFonts w:ascii="Century Schoolbook" w:eastAsiaTheme="minorHAnsi" w:hAnsi="Century School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B06468"/>
    <w:multiLevelType w:val="multilevel"/>
    <w:tmpl w:val="943659F4"/>
    <w:lvl w:ilvl="0">
      <w:start w:val="1"/>
      <w:numFmt w:val="none"/>
      <w:lvlText w:val="4"/>
      <w:lvlJc w:val="left"/>
      <w:pPr>
        <w:ind w:left="274" w:hanging="274"/>
      </w:pPr>
      <w:rPr>
        <w:rFonts w:ascii="Webdings" w:hAnsi="Webdings" w:hint="default"/>
        <w:b w:val="0"/>
        <w:i w:val="0"/>
        <w:color w:val="98002E" w:themeColor="accent1"/>
        <w:sz w:val="22"/>
      </w:rPr>
    </w:lvl>
    <w:lvl w:ilvl="1">
      <w:start w:val="1"/>
      <w:numFmt w:val="none"/>
      <w:lvlText w:val="4"/>
      <w:lvlJc w:val="left"/>
      <w:pPr>
        <w:ind w:left="864" w:hanging="274"/>
      </w:pPr>
      <w:rPr>
        <w:rFonts w:ascii="Webdings" w:hAnsi="Webdings" w:hint="default"/>
        <w:b w:val="0"/>
        <w:i w:val="0"/>
        <w:color w:val="000000" w:themeColor="text1"/>
        <w:sz w:val="18"/>
      </w:rPr>
    </w:lvl>
    <w:lvl w:ilvl="2">
      <w:start w:val="1"/>
      <w:numFmt w:val="none"/>
      <w:lvlText w:val="4"/>
      <w:lvlJc w:val="left"/>
      <w:pPr>
        <w:ind w:left="1454" w:hanging="274"/>
      </w:pPr>
      <w:rPr>
        <w:rFonts w:ascii="Webdings" w:hAnsi="Webdings" w:hint="default"/>
        <w:b w:val="0"/>
        <w:i w:val="0"/>
        <w:color w:val="98002E" w:themeColor="accent1"/>
        <w:sz w:val="18"/>
      </w:rPr>
    </w:lvl>
    <w:lvl w:ilvl="3">
      <w:start w:val="1"/>
      <w:numFmt w:val="none"/>
      <w:lvlText w:val="4"/>
      <w:lvlJc w:val="left"/>
      <w:pPr>
        <w:ind w:left="2044" w:hanging="274"/>
      </w:pPr>
      <w:rPr>
        <w:rFonts w:ascii="Webdings" w:hAnsi="Webdings" w:hint="default"/>
        <w:b w:val="0"/>
        <w:i w:val="0"/>
        <w:color w:val="000000" w:themeColor="text1"/>
        <w:sz w:val="18"/>
      </w:rPr>
    </w:lvl>
    <w:lvl w:ilvl="4">
      <w:start w:val="1"/>
      <w:numFmt w:val="none"/>
      <w:lvlText w:val="4"/>
      <w:lvlJc w:val="left"/>
      <w:pPr>
        <w:ind w:left="2634" w:hanging="274"/>
      </w:pPr>
      <w:rPr>
        <w:rFonts w:ascii="Webdings" w:hAnsi="Webdings" w:hint="default"/>
        <w:b w:val="0"/>
        <w:i w:val="0"/>
        <w:color w:val="98002E" w:themeColor="accent1"/>
        <w:sz w:val="18"/>
      </w:rPr>
    </w:lvl>
    <w:lvl w:ilvl="5">
      <w:start w:val="1"/>
      <w:numFmt w:val="none"/>
      <w:lvlText w:val="4"/>
      <w:lvlJc w:val="left"/>
      <w:pPr>
        <w:ind w:left="3224" w:hanging="274"/>
      </w:pPr>
      <w:rPr>
        <w:rFonts w:ascii="Webdings" w:hAnsi="Webdings" w:hint="default"/>
        <w:b w:val="0"/>
        <w:i w:val="0"/>
        <w:color w:val="000000" w:themeColor="text1"/>
        <w:sz w:val="18"/>
      </w:rPr>
    </w:lvl>
    <w:lvl w:ilvl="6">
      <w:start w:val="1"/>
      <w:numFmt w:val="none"/>
      <w:lvlText w:val="4"/>
      <w:lvlJc w:val="left"/>
      <w:pPr>
        <w:ind w:left="3814" w:hanging="274"/>
      </w:pPr>
      <w:rPr>
        <w:rFonts w:ascii="Webdings" w:hAnsi="Webdings" w:hint="default"/>
        <w:b w:val="0"/>
        <w:i w:val="0"/>
        <w:color w:val="98002E" w:themeColor="accent1"/>
        <w:sz w:val="18"/>
      </w:rPr>
    </w:lvl>
    <w:lvl w:ilvl="7">
      <w:start w:val="1"/>
      <w:numFmt w:val="none"/>
      <w:lvlText w:val="4"/>
      <w:lvlJc w:val="left"/>
      <w:pPr>
        <w:ind w:left="4404" w:hanging="274"/>
      </w:pPr>
      <w:rPr>
        <w:rFonts w:ascii="Webdings" w:hAnsi="Webdings" w:hint="default"/>
        <w:b w:val="0"/>
        <w:i w:val="0"/>
        <w:color w:val="000000" w:themeColor="text1"/>
        <w:sz w:val="18"/>
      </w:rPr>
    </w:lvl>
    <w:lvl w:ilvl="8">
      <w:start w:val="1"/>
      <w:numFmt w:val="none"/>
      <w:lvlText w:val="4"/>
      <w:lvlJc w:val="left"/>
      <w:pPr>
        <w:ind w:left="4994" w:hanging="274"/>
      </w:pPr>
      <w:rPr>
        <w:rFonts w:ascii="Webdings" w:hAnsi="Webdings" w:hint="default"/>
        <w:b w:val="0"/>
        <w:i w:val="0"/>
        <w:color w:val="98002E" w:themeColor="accent1"/>
        <w:sz w:val="18"/>
      </w:rPr>
    </w:lvl>
  </w:abstractNum>
  <w:abstractNum w:abstractNumId="2">
    <w:nsid w:val="19C12775"/>
    <w:multiLevelType w:val="multilevel"/>
    <w:tmpl w:val="41FCBAE6"/>
    <w:styleLink w:val="NPBullets"/>
    <w:lvl w:ilvl="0">
      <w:start w:val="1"/>
      <w:numFmt w:val="none"/>
      <w:lvlText w:val="4"/>
      <w:lvlJc w:val="left"/>
      <w:pPr>
        <w:ind w:left="547" w:hanging="273"/>
      </w:pPr>
      <w:rPr>
        <w:rFonts w:ascii="Webdings" w:hAnsi="Webdings" w:hint="default"/>
        <w:b w:val="0"/>
        <w:i w:val="0"/>
        <w:color w:val="98002E" w:themeColor="accent1"/>
        <w:sz w:val="22"/>
      </w:rPr>
    </w:lvl>
    <w:lvl w:ilvl="1">
      <w:start w:val="1"/>
      <w:numFmt w:val="none"/>
      <w:lvlText w:val="4"/>
      <w:lvlJc w:val="left"/>
      <w:pPr>
        <w:ind w:left="1137" w:hanging="273"/>
      </w:pPr>
      <w:rPr>
        <w:rFonts w:ascii="Webdings" w:hAnsi="Webdings" w:hint="default"/>
        <w:b w:val="0"/>
        <w:i w:val="0"/>
        <w:color w:val="000000" w:themeColor="text1"/>
        <w:sz w:val="18"/>
      </w:rPr>
    </w:lvl>
    <w:lvl w:ilvl="2">
      <w:start w:val="1"/>
      <w:numFmt w:val="none"/>
      <w:lvlText w:val="4"/>
      <w:lvlJc w:val="left"/>
      <w:pPr>
        <w:ind w:left="1727" w:hanging="273"/>
      </w:pPr>
      <w:rPr>
        <w:rFonts w:ascii="Webdings" w:hAnsi="Webdings" w:hint="default"/>
        <w:b w:val="0"/>
        <w:i w:val="0"/>
        <w:color w:val="98002E" w:themeColor="accent1"/>
        <w:sz w:val="18"/>
      </w:rPr>
    </w:lvl>
    <w:lvl w:ilvl="3">
      <w:start w:val="1"/>
      <w:numFmt w:val="none"/>
      <w:lvlText w:val="4"/>
      <w:lvlJc w:val="left"/>
      <w:pPr>
        <w:ind w:left="2317" w:hanging="273"/>
      </w:pPr>
      <w:rPr>
        <w:rFonts w:ascii="Webdings" w:hAnsi="Webdings" w:hint="default"/>
        <w:b w:val="0"/>
        <w:i w:val="0"/>
        <w:color w:val="000000" w:themeColor="text1"/>
        <w:sz w:val="18"/>
      </w:rPr>
    </w:lvl>
    <w:lvl w:ilvl="4">
      <w:start w:val="1"/>
      <w:numFmt w:val="none"/>
      <w:lvlText w:val="4"/>
      <w:lvlJc w:val="left"/>
      <w:pPr>
        <w:ind w:left="2907" w:hanging="273"/>
      </w:pPr>
      <w:rPr>
        <w:rFonts w:ascii="Webdings" w:hAnsi="Webdings" w:hint="default"/>
        <w:b w:val="0"/>
        <w:i w:val="0"/>
        <w:color w:val="98002E" w:themeColor="accent1"/>
        <w:sz w:val="18"/>
      </w:rPr>
    </w:lvl>
    <w:lvl w:ilvl="5">
      <w:start w:val="1"/>
      <w:numFmt w:val="none"/>
      <w:lvlText w:val="4"/>
      <w:lvlJc w:val="left"/>
      <w:pPr>
        <w:ind w:left="3497" w:hanging="273"/>
      </w:pPr>
      <w:rPr>
        <w:rFonts w:ascii="Webdings" w:hAnsi="Webdings" w:hint="default"/>
        <w:b w:val="0"/>
        <w:i w:val="0"/>
        <w:color w:val="000000" w:themeColor="text1"/>
        <w:sz w:val="18"/>
      </w:rPr>
    </w:lvl>
    <w:lvl w:ilvl="6">
      <w:start w:val="1"/>
      <w:numFmt w:val="none"/>
      <w:lvlText w:val="4"/>
      <w:lvlJc w:val="left"/>
      <w:pPr>
        <w:ind w:left="4087" w:hanging="273"/>
      </w:pPr>
      <w:rPr>
        <w:rFonts w:ascii="Webdings" w:hAnsi="Webdings" w:hint="default"/>
        <w:b w:val="0"/>
        <w:i w:val="0"/>
        <w:color w:val="98002E" w:themeColor="accent1"/>
        <w:sz w:val="18"/>
      </w:rPr>
    </w:lvl>
    <w:lvl w:ilvl="7">
      <w:start w:val="1"/>
      <w:numFmt w:val="none"/>
      <w:lvlText w:val="4"/>
      <w:lvlJc w:val="left"/>
      <w:pPr>
        <w:ind w:left="4677" w:hanging="273"/>
      </w:pPr>
      <w:rPr>
        <w:rFonts w:ascii="Webdings" w:hAnsi="Webdings" w:hint="default"/>
        <w:b w:val="0"/>
        <w:i w:val="0"/>
        <w:color w:val="000000" w:themeColor="text1"/>
        <w:sz w:val="18"/>
      </w:rPr>
    </w:lvl>
    <w:lvl w:ilvl="8">
      <w:start w:val="1"/>
      <w:numFmt w:val="none"/>
      <w:lvlText w:val="4"/>
      <w:lvlJc w:val="left"/>
      <w:pPr>
        <w:ind w:left="5267" w:hanging="273"/>
      </w:pPr>
      <w:rPr>
        <w:rFonts w:ascii="Webdings" w:hAnsi="Webdings" w:hint="default"/>
        <w:b w:val="0"/>
        <w:i w:val="0"/>
        <w:color w:val="98002E" w:themeColor="accent1"/>
        <w:sz w:val="18"/>
      </w:rPr>
    </w:lvl>
  </w:abstractNum>
  <w:abstractNum w:abstractNumId="3">
    <w:nsid w:val="20DC5356"/>
    <w:multiLevelType w:val="hybridMultilevel"/>
    <w:tmpl w:val="E0F0D97A"/>
    <w:lvl w:ilvl="0" w:tplc="70C0D7A2">
      <w:numFmt w:val="bullet"/>
      <w:lvlText w:val="-"/>
      <w:lvlJc w:val="left"/>
      <w:pPr>
        <w:ind w:left="720" w:hanging="360"/>
      </w:pPr>
      <w:rPr>
        <w:rFonts w:ascii="Century Schoolbook" w:eastAsiaTheme="minorHAnsi" w:hAnsi="Century School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FA44AA"/>
    <w:multiLevelType w:val="hybridMultilevel"/>
    <w:tmpl w:val="B8B695A6"/>
    <w:lvl w:ilvl="0" w:tplc="7A6016AA">
      <w:numFmt w:val="bullet"/>
      <w:lvlText w:val="-"/>
      <w:lvlJc w:val="left"/>
      <w:pPr>
        <w:ind w:left="1080" w:hanging="360"/>
      </w:pPr>
      <w:rPr>
        <w:rFonts w:ascii="Century Schoolbook" w:eastAsiaTheme="minorHAnsi" w:hAnsi="Century Schoolbook"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B5D38F2"/>
    <w:multiLevelType w:val="hybridMultilevel"/>
    <w:tmpl w:val="91981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E52F85"/>
    <w:multiLevelType w:val="multilevel"/>
    <w:tmpl w:val="B5F04248"/>
    <w:lvl w:ilvl="0">
      <w:start w:val="1"/>
      <w:numFmt w:val="none"/>
      <w:lvlText w:val="4"/>
      <w:lvlJc w:val="left"/>
      <w:pPr>
        <w:ind w:left="547" w:hanging="273"/>
      </w:pPr>
      <w:rPr>
        <w:rFonts w:ascii="Webdings" w:hAnsi="Webdings" w:hint="default"/>
        <w:b w:val="0"/>
        <w:i w:val="0"/>
        <w:color w:val="98002E" w:themeColor="accent1"/>
        <w:sz w:val="22"/>
      </w:rPr>
    </w:lvl>
    <w:lvl w:ilvl="1">
      <w:start w:val="1"/>
      <w:numFmt w:val="none"/>
      <w:lvlText w:val="4"/>
      <w:lvlJc w:val="left"/>
      <w:pPr>
        <w:ind w:left="1137" w:hanging="273"/>
      </w:pPr>
      <w:rPr>
        <w:rFonts w:ascii="Webdings" w:hAnsi="Webdings" w:hint="default"/>
        <w:b w:val="0"/>
        <w:i w:val="0"/>
        <w:color w:val="000000" w:themeColor="text1"/>
        <w:sz w:val="18"/>
      </w:rPr>
    </w:lvl>
    <w:lvl w:ilvl="2">
      <w:start w:val="1"/>
      <w:numFmt w:val="none"/>
      <w:lvlText w:val="4"/>
      <w:lvlJc w:val="left"/>
      <w:pPr>
        <w:ind w:left="1727" w:hanging="273"/>
      </w:pPr>
      <w:rPr>
        <w:rFonts w:ascii="Webdings" w:hAnsi="Webdings" w:hint="default"/>
        <w:b w:val="0"/>
        <w:i w:val="0"/>
        <w:color w:val="98002E" w:themeColor="accent1"/>
        <w:sz w:val="18"/>
      </w:rPr>
    </w:lvl>
    <w:lvl w:ilvl="3">
      <w:start w:val="1"/>
      <w:numFmt w:val="none"/>
      <w:lvlText w:val="4"/>
      <w:lvlJc w:val="left"/>
      <w:pPr>
        <w:ind w:left="2317" w:hanging="273"/>
      </w:pPr>
      <w:rPr>
        <w:rFonts w:ascii="Webdings" w:hAnsi="Webdings" w:hint="default"/>
        <w:b w:val="0"/>
        <w:i w:val="0"/>
        <w:color w:val="000000" w:themeColor="text1"/>
        <w:sz w:val="18"/>
      </w:rPr>
    </w:lvl>
    <w:lvl w:ilvl="4">
      <w:start w:val="1"/>
      <w:numFmt w:val="none"/>
      <w:lvlText w:val="4"/>
      <w:lvlJc w:val="left"/>
      <w:pPr>
        <w:ind w:left="2907" w:hanging="273"/>
      </w:pPr>
      <w:rPr>
        <w:rFonts w:ascii="Webdings" w:hAnsi="Webdings" w:hint="default"/>
        <w:b w:val="0"/>
        <w:i w:val="0"/>
        <w:color w:val="98002E" w:themeColor="accent1"/>
        <w:sz w:val="18"/>
      </w:rPr>
    </w:lvl>
    <w:lvl w:ilvl="5">
      <w:start w:val="1"/>
      <w:numFmt w:val="none"/>
      <w:lvlText w:val="4"/>
      <w:lvlJc w:val="left"/>
      <w:pPr>
        <w:ind w:left="3497" w:hanging="273"/>
      </w:pPr>
      <w:rPr>
        <w:rFonts w:ascii="Webdings" w:hAnsi="Webdings" w:hint="default"/>
        <w:b w:val="0"/>
        <w:i w:val="0"/>
        <w:color w:val="000000" w:themeColor="text1"/>
        <w:sz w:val="18"/>
      </w:rPr>
    </w:lvl>
    <w:lvl w:ilvl="6">
      <w:start w:val="1"/>
      <w:numFmt w:val="none"/>
      <w:lvlText w:val="4"/>
      <w:lvlJc w:val="left"/>
      <w:pPr>
        <w:ind w:left="4087" w:hanging="273"/>
      </w:pPr>
      <w:rPr>
        <w:rFonts w:ascii="Webdings" w:hAnsi="Webdings" w:hint="default"/>
        <w:b w:val="0"/>
        <w:i w:val="0"/>
        <w:color w:val="98002E" w:themeColor="accent1"/>
        <w:sz w:val="18"/>
      </w:rPr>
    </w:lvl>
    <w:lvl w:ilvl="7">
      <w:start w:val="1"/>
      <w:numFmt w:val="none"/>
      <w:lvlText w:val="4"/>
      <w:lvlJc w:val="left"/>
      <w:pPr>
        <w:ind w:left="4677" w:hanging="273"/>
      </w:pPr>
      <w:rPr>
        <w:rFonts w:ascii="Webdings" w:hAnsi="Webdings" w:hint="default"/>
        <w:b w:val="0"/>
        <w:i w:val="0"/>
        <w:color w:val="000000" w:themeColor="text1"/>
        <w:sz w:val="18"/>
      </w:rPr>
    </w:lvl>
    <w:lvl w:ilvl="8">
      <w:start w:val="1"/>
      <w:numFmt w:val="none"/>
      <w:lvlText w:val="4"/>
      <w:lvlJc w:val="left"/>
      <w:pPr>
        <w:ind w:left="5267" w:hanging="273"/>
      </w:pPr>
      <w:rPr>
        <w:rFonts w:ascii="Webdings" w:hAnsi="Webdings" w:hint="default"/>
        <w:b w:val="0"/>
        <w:i w:val="0"/>
        <w:color w:val="98002E" w:themeColor="accent1"/>
        <w:sz w:val="18"/>
      </w:rPr>
    </w:lvl>
  </w:abstractNum>
  <w:abstractNum w:abstractNumId="7">
    <w:nsid w:val="31BC3617"/>
    <w:multiLevelType w:val="hybridMultilevel"/>
    <w:tmpl w:val="DEF060B6"/>
    <w:lvl w:ilvl="0" w:tplc="FDCAC92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5769DF"/>
    <w:multiLevelType w:val="multilevel"/>
    <w:tmpl w:val="943659F4"/>
    <w:lvl w:ilvl="0">
      <w:start w:val="1"/>
      <w:numFmt w:val="none"/>
      <w:lvlText w:val="4"/>
      <w:lvlJc w:val="left"/>
      <w:pPr>
        <w:ind w:left="274" w:hanging="274"/>
      </w:pPr>
      <w:rPr>
        <w:rFonts w:ascii="Webdings" w:hAnsi="Webdings" w:hint="default"/>
        <w:b w:val="0"/>
        <w:i w:val="0"/>
        <w:color w:val="98002E" w:themeColor="accent1"/>
        <w:sz w:val="22"/>
      </w:rPr>
    </w:lvl>
    <w:lvl w:ilvl="1">
      <w:start w:val="1"/>
      <w:numFmt w:val="none"/>
      <w:lvlText w:val="4"/>
      <w:lvlJc w:val="left"/>
      <w:pPr>
        <w:ind w:left="864" w:hanging="274"/>
      </w:pPr>
      <w:rPr>
        <w:rFonts w:ascii="Webdings" w:hAnsi="Webdings" w:hint="default"/>
        <w:b w:val="0"/>
        <w:i w:val="0"/>
        <w:color w:val="000000" w:themeColor="text1"/>
        <w:sz w:val="18"/>
      </w:rPr>
    </w:lvl>
    <w:lvl w:ilvl="2">
      <w:start w:val="1"/>
      <w:numFmt w:val="none"/>
      <w:lvlText w:val="4"/>
      <w:lvlJc w:val="left"/>
      <w:pPr>
        <w:ind w:left="1454" w:hanging="274"/>
      </w:pPr>
      <w:rPr>
        <w:rFonts w:ascii="Webdings" w:hAnsi="Webdings" w:hint="default"/>
        <w:b w:val="0"/>
        <w:i w:val="0"/>
        <w:color w:val="98002E" w:themeColor="accent1"/>
        <w:sz w:val="18"/>
      </w:rPr>
    </w:lvl>
    <w:lvl w:ilvl="3">
      <w:start w:val="1"/>
      <w:numFmt w:val="none"/>
      <w:lvlText w:val="4"/>
      <w:lvlJc w:val="left"/>
      <w:pPr>
        <w:ind w:left="2044" w:hanging="274"/>
      </w:pPr>
      <w:rPr>
        <w:rFonts w:ascii="Webdings" w:hAnsi="Webdings" w:hint="default"/>
        <w:b w:val="0"/>
        <w:i w:val="0"/>
        <w:color w:val="000000" w:themeColor="text1"/>
        <w:sz w:val="18"/>
      </w:rPr>
    </w:lvl>
    <w:lvl w:ilvl="4">
      <w:start w:val="1"/>
      <w:numFmt w:val="none"/>
      <w:lvlText w:val="4"/>
      <w:lvlJc w:val="left"/>
      <w:pPr>
        <w:ind w:left="2634" w:hanging="274"/>
      </w:pPr>
      <w:rPr>
        <w:rFonts w:ascii="Webdings" w:hAnsi="Webdings" w:hint="default"/>
        <w:b w:val="0"/>
        <w:i w:val="0"/>
        <w:color w:val="98002E" w:themeColor="accent1"/>
        <w:sz w:val="18"/>
      </w:rPr>
    </w:lvl>
    <w:lvl w:ilvl="5">
      <w:start w:val="1"/>
      <w:numFmt w:val="none"/>
      <w:lvlText w:val="4"/>
      <w:lvlJc w:val="left"/>
      <w:pPr>
        <w:ind w:left="3224" w:hanging="274"/>
      </w:pPr>
      <w:rPr>
        <w:rFonts w:ascii="Webdings" w:hAnsi="Webdings" w:hint="default"/>
        <w:b w:val="0"/>
        <w:i w:val="0"/>
        <w:color w:val="000000" w:themeColor="text1"/>
        <w:sz w:val="18"/>
      </w:rPr>
    </w:lvl>
    <w:lvl w:ilvl="6">
      <w:start w:val="1"/>
      <w:numFmt w:val="none"/>
      <w:lvlText w:val="4"/>
      <w:lvlJc w:val="left"/>
      <w:pPr>
        <w:ind w:left="3814" w:hanging="274"/>
      </w:pPr>
      <w:rPr>
        <w:rFonts w:ascii="Webdings" w:hAnsi="Webdings" w:hint="default"/>
        <w:b w:val="0"/>
        <w:i w:val="0"/>
        <w:color w:val="98002E" w:themeColor="accent1"/>
        <w:sz w:val="18"/>
      </w:rPr>
    </w:lvl>
    <w:lvl w:ilvl="7">
      <w:start w:val="1"/>
      <w:numFmt w:val="none"/>
      <w:lvlText w:val="4"/>
      <w:lvlJc w:val="left"/>
      <w:pPr>
        <w:ind w:left="4404" w:hanging="274"/>
      </w:pPr>
      <w:rPr>
        <w:rFonts w:ascii="Webdings" w:hAnsi="Webdings" w:hint="default"/>
        <w:b w:val="0"/>
        <w:i w:val="0"/>
        <w:color w:val="000000" w:themeColor="text1"/>
        <w:sz w:val="18"/>
      </w:rPr>
    </w:lvl>
    <w:lvl w:ilvl="8">
      <w:start w:val="1"/>
      <w:numFmt w:val="none"/>
      <w:lvlText w:val="4"/>
      <w:lvlJc w:val="left"/>
      <w:pPr>
        <w:ind w:left="4994" w:hanging="274"/>
      </w:pPr>
      <w:rPr>
        <w:rFonts w:ascii="Webdings" w:hAnsi="Webdings" w:hint="default"/>
        <w:b w:val="0"/>
        <w:i w:val="0"/>
        <w:color w:val="98002E" w:themeColor="accent1"/>
        <w:sz w:val="18"/>
      </w:rPr>
    </w:lvl>
  </w:abstractNum>
  <w:abstractNum w:abstractNumId="9">
    <w:nsid w:val="37C77B5E"/>
    <w:multiLevelType w:val="hybridMultilevel"/>
    <w:tmpl w:val="1F9C1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DA469B"/>
    <w:multiLevelType w:val="hybridMultilevel"/>
    <w:tmpl w:val="CDAA8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0D18E9"/>
    <w:multiLevelType w:val="multilevel"/>
    <w:tmpl w:val="943659F4"/>
    <w:lvl w:ilvl="0">
      <w:start w:val="1"/>
      <w:numFmt w:val="none"/>
      <w:lvlText w:val="4"/>
      <w:lvlJc w:val="left"/>
      <w:pPr>
        <w:ind w:left="274" w:hanging="274"/>
      </w:pPr>
      <w:rPr>
        <w:rFonts w:ascii="Webdings" w:hAnsi="Webdings" w:hint="default"/>
        <w:b w:val="0"/>
        <w:i w:val="0"/>
        <w:color w:val="98002E" w:themeColor="accent1"/>
        <w:sz w:val="22"/>
      </w:rPr>
    </w:lvl>
    <w:lvl w:ilvl="1">
      <w:start w:val="1"/>
      <w:numFmt w:val="none"/>
      <w:lvlText w:val="4"/>
      <w:lvlJc w:val="left"/>
      <w:pPr>
        <w:ind w:left="864" w:hanging="274"/>
      </w:pPr>
      <w:rPr>
        <w:rFonts w:ascii="Webdings" w:hAnsi="Webdings" w:hint="default"/>
        <w:b w:val="0"/>
        <w:i w:val="0"/>
        <w:color w:val="000000" w:themeColor="text1"/>
        <w:sz w:val="18"/>
      </w:rPr>
    </w:lvl>
    <w:lvl w:ilvl="2">
      <w:start w:val="1"/>
      <w:numFmt w:val="none"/>
      <w:lvlText w:val="4"/>
      <w:lvlJc w:val="left"/>
      <w:pPr>
        <w:ind w:left="1454" w:hanging="274"/>
      </w:pPr>
      <w:rPr>
        <w:rFonts w:ascii="Webdings" w:hAnsi="Webdings" w:hint="default"/>
        <w:b w:val="0"/>
        <w:i w:val="0"/>
        <w:color w:val="98002E" w:themeColor="accent1"/>
        <w:sz w:val="18"/>
      </w:rPr>
    </w:lvl>
    <w:lvl w:ilvl="3">
      <w:start w:val="1"/>
      <w:numFmt w:val="none"/>
      <w:lvlText w:val="4"/>
      <w:lvlJc w:val="left"/>
      <w:pPr>
        <w:ind w:left="2044" w:hanging="274"/>
      </w:pPr>
      <w:rPr>
        <w:rFonts w:ascii="Webdings" w:hAnsi="Webdings" w:hint="default"/>
        <w:b w:val="0"/>
        <w:i w:val="0"/>
        <w:color w:val="000000" w:themeColor="text1"/>
        <w:sz w:val="18"/>
      </w:rPr>
    </w:lvl>
    <w:lvl w:ilvl="4">
      <w:start w:val="1"/>
      <w:numFmt w:val="none"/>
      <w:lvlText w:val="4"/>
      <w:lvlJc w:val="left"/>
      <w:pPr>
        <w:ind w:left="2634" w:hanging="274"/>
      </w:pPr>
      <w:rPr>
        <w:rFonts w:ascii="Webdings" w:hAnsi="Webdings" w:hint="default"/>
        <w:b w:val="0"/>
        <w:i w:val="0"/>
        <w:color w:val="98002E" w:themeColor="accent1"/>
        <w:sz w:val="18"/>
      </w:rPr>
    </w:lvl>
    <w:lvl w:ilvl="5">
      <w:start w:val="1"/>
      <w:numFmt w:val="none"/>
      <w:lvlText w:val="4"/>
      <w:lvlJc w:val="left"/>
      <w:pPr>
        <w:ind w:left="3224" w:hanging="274"/>
      </w:pPr>
      <w:rPr>
        <w:rFonts w:ascii="Webdings" w:hAnsi="Webdings" w:hint="default"/>
        <w:b w:val="0"/>
        <w:i w:val="0"/>
        <w:color w:val="000000" w:themeColor="text1"/>
        <w:sz w:val="18"/>
      </w:rPr>
    </w:lvl>
    <w:lvl w:ilvl="6">
      <w:start w:val="1"/>
      <w:numFmt w:val="none"/>
      <w:lvlText w:val="4"/>
      <w:lvlJc w:val="left"/>
      <w:pPr>
        <w:ind w:left="3814" w:hanging="274"/>
      </w:pPr>
      <w:rPr>
        <w:rFonts w:ascii="Webdings" w:hAnsi="Webdings" w:hint="default"/>
        <w:b w:val="0"/>
        <w:i w:val="0"/>
        <w:color w:val="98002E" w:themeColor="accent1"/>
        <w:sz w:val="18"/>
      </w:rPr>
    </w:lvl>
    <w:lvl w:ilvl="7">
      <w:start w:val="1"/>
      <w:numFmt w:val="none"/>
      <w:lvlText w:val="4"/>
      <w:lvlJc w:val="left"/>
      <w:pPr>
        <w:ind w:left="4404" w:hanging="274"/>
      </w:pPr>
      <w:rPr>
        <w:rFonts w:ascii="Webdings" w:hAnsi="Webdings" w:hint="default"/>
        <w:b w:val="0"/>
        <w:i w:val="0"/>
        <w:color w:val="000000" w:themeColor="text1"/>
        <w:sz w:val="18"/>
      </w:rPr>
    </w:lvl>
    <w:lvl w:ilvl="8">
      <w:start w:val="1"/>
      <w:numFmt w:val="none"/>
      <w:lvlText w:val="4"/>
      <w:lvlJc w:val="left"/>
      <w:pPr>
        <w:ind w:left="4994" w:hanging="274"/>
      </w:pPr>
      <w:rPr>
        <w:rFonts w:ascii="Webdings" w:hAnsi="Webdings" w:hint="default"/>
        <w:b w:val="0"/>
        <w:i w:val="0"/>
        <w:color w:val="98002E" w:themeColor="accent1"/>
        <w:sz w:val="18"/>
      </w:rPr>
    </w:lvl>
  </w:abstractNum>
  <w:abstractNum w:abstractNumId="12">
    <w:nsid w:val="53942BDB"/>
    <w:multiLevelType w:val="hybridMultilevel"/>
    <w:tmpl w:val="E5548EA0"/>
    <w:lvl w:ilvl="0" w:tplc="41388CD2">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CD4732"/>
    <w:multiLevelType w:val="multilevel"/>
    <w:tmpl w:val="41FCBAE6"/>
    <w:lvl w:ilvl="0">
      <w:start w:val="1"/>
      <w:numFmt w:val="none"/>
      <w:lvlText w:val="4"/>
      <w:lvlJc w:val="left"/>
      <w:pPr>
        <w:ind w:left="547" w:hanging="273"/>
      </w:pPr>
      <w:rPr>
        <w:rFonts w:ascii="Webdings" w:hAnsi="Webdings" w:hint="default"/>
        <w:b w:val="0"/>
        <w:i w:val="0"/>
        <w:color w:val="98002E" w:themeColor="accent1"/>
        <w:sz w:val="22"/>
      </w:rPr>
    </w:lvl>
    <w:lvl w:ilvl="1">
      <w:start w:val="1"/>
      <w:numFmt w:val="none"/>
      <w:lvlText w:val="4"/>
      <w:lvlJc w:val="left"/>
      <w:pPr>
        <w:ind w:left="1137" w:hanging="273"/>
      </w:pPr>
      <w:rPr>
        <w:rFonts w:ascii="Webdings" w:hAnsi="Webdings" w:hint="default"/>
        <w:b w:val="0"/>
        <w:i w:val="0"/>
        <w:color w:val="000000" w:themeColor="text1"/>
        <w:sz w:val="18"/>
      </w:rPr>
    </w:lvl>
    <w:lvl w:ilvl="2">
      <w:start w:val="1"/>
      <w:numFmt w:val="none"/>
      <w:lvlText w:val="4"/>
      <w:lvlJc w:val="left"/>
      <w:pPr>
        <w:ind w:left="1727" w:hanging="273"/>
      </w:pPr>
      <w:rPr>
        <w:rFonts w:ascii="Webdings" w:hAnsi="Webdings" w:hint="default"/>
        <w:b w:val="0"/>
        <w:i w:val="0"/>
        <w:color w:val="98002E" w:themeColor="accent1"/>
        <w:sz w:val="18"/>
      </w:rPr>
    </w:lvl>
    <w:lvl w:ilvl="3">
      <w:start w:val="1"/>
      <w:numFmt w:val="none"/>
      <w:lvlText w:val="4"/>
      <w:lvlJc w:val="left"/>
      <w:pPr>
        <w:ind w:left="2317" w:hanging="273"/>
      </w:pPr>
      <w:rPr>
        <w:rFonts w:ascii="Webdings" w:hAnsi="Webdings" w:hint="default"/>
        <w:b w:val="0"/>
        <w:i w:val="0"/>
        <w:color w:val="000000" w:themeColor="text1"/>
        <w:sz w:val="18"/>
      </w:rPr>
    </w:lvl>
    <w:lvl w:ilvl="4">
      <w:start w:val="1"/>
      <w:numFmt w:val="none"/>
      <w:lvlText w:val="4"/>
      <w:lvlJc w:val="left"/>
      <w:pPr>
        <w:ind w:left="2907" w:hanging="273"/>
      </w:pPr>
      <w:rPr>
        <w:rFonts w:ascii="Webdings" w:hAnsi="Webdings" w:hint="default"/>
        <w:b w:val="0"/>
        <w:i w:val="0"/>
        <w:color w:val="98002E" w:themeColor="accent1"/>
        <w:sz w:val="18"/>
      </w:rPr>
    </w:lvl>
    <w:lvl w:ilvl="5">
      <w:start w:val="1"/>
      <w:numFmt w:val="none"/>
      <w:lvlText w:val="4"/>
      <w:lvlJc w:val="left"/>
      <w:pPr>
        <w:ind w:left="3497" w:hanging="273"/>
      </w:pPr>
      <w:rPr>
        <w:rFonts w:ascii="Webdings" w:hAnsi="Webdings" w:hint="default"/>
        <w:b w:val="0"/>
        <w:i w:val="0"/>
        <w:color w:val="000000" w:themeColor="text1"/>
        <w:sz w:val="18"/>
      </w:rPr>
    </w:lvl>
    <w:lvl w:ilvl="6">
      <w:start w:val="1"/>
      <w:numFmt w:val="none"/>
      <w:lvlText w:val="4"/>
      <w:lvlJc w:val="left"/>
      <w:pPr>
        <w:ind w:left="4087" w:hanging="273"/>
      </w:pPr>
      <w:rPr>
        <w:rFonts w:ascii="Webdings" w:hAnsi="Webdings" w:hint="default"/>
        <w:b w:val="0"/>
        <w:i w:val="0"/>
        <w:color w:val="98002E" w:themeColor="accent1"/>
        <w:sz w:val="18"/>
      </w:rPr>
    </w:lvl>
    <w:lvl w:ilvl="7">
      <w:start w:val="1"/>
      <w:numFmt w:val="none"/>
      <w:lvlText w:val="4"/>
      <w:lvlJc w:val="left"/>
      <w:pPr>
        <w:ind w:left="4677" w:hanging="273"/>
      </w:pPr>
      <w:rPr>
        <w:rFonts w:ascii="Webdings" w:hAnsi="Webdings" w:hint="default"/>
        <w:b w:val="0"/>
        <w:i w:val="0"/>
        <w:color w:val="000000" w:themeColor="text1"/>
        <w:sz w:val="18"/>
      </w:rPr>
    </w:lvl>
    <w:lvl w:ilvl="8">
      <w:start w:val="1"/>
      <w:numFmt w:val="none"/>
      <w:lvlText w:val="4"/>
      <w:lvlJc w:val="left"/>
      <w:pPr>
        <w:ind w:left="5267" w:hanging="273"/>
      </w:pPr>
      <w:rPr>
        <w:rFonts w:ascii="Webdings" w:hAnsi="Webdings" w:hint="default"/>
        <w:b w:val="0"/>
        <w:i w:val="0"/>
        <w:color w:val="98002E" w:themeColor="accent1"/>
        <w:sz w:val="18"/>
      </w:rPr>
    </w:lvl>
  </w:abstractNum>
  <w:abstractNum w:abstractNumId="14">
    <w:nsid w:val="5ED73562"/>
    <w:multiLevelType w:val="hybridMultilevel"/>
    <w:tmpl w:val="C2606D00"/>
    <w:lvl w:ilvl="0" w:tplc="D0D058DE">
      <w:numFmt w:val="bullet"/>
      <w:lvlText w:val="-"/>
      <w:lvlJc w:val="left"/>
      <w:pPr>
        <w:ind w:left="720" w:hanging="360"/>
      </w:pPr>
      <w:rPr>
        <w:rFonts w:ascii="Century Schoolbook" w:eastAsiaTheme="minorHAnsi" w:hAnsi="Century School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133983"/>
    <w:multiLevelType w:val="multilevel"/>
    <w:tmpl w:val="943659F4"/>
    <w:lvl w:ilvl="0">
      <w:start w:val="1"/>
      <w:numFmt w:val="none"/>
      <w:lvlText w:val="4"/>
      <w:lvlJc w:val="left"/>
      <w:pPr>
        <w:ind w:left="274" w:hanging="274"/>
      </w:pPr>
      <w:rPr>
        <w:rFonts w:ascii="Webdings" w:hAnsi="Webdings" w:hint="default"/>
        <w:b w:val="0"/>
        <w:i w:val="0"/>
        <w:color w:val="98002E" w:themeColor="accent1"/>
        <w:sz w:val="22"/>
      </w:rPr>
    </w:lvl>
    <w:lvl w:ilvl="1">
      <w:start w:val="1"/>
      <w:numFmt w:val="none"/>
      <w:lvlText w:val="4"/>
      <w:lvlJc w:val="left"/>
      <w:pPr>
        <w:ind w:left="864" w:hanging="274"/>
      </w:pPr>
      <w:rPr>
        <w:rFonts w:ascii="Webdings" w:hAnsi="Webdings" w:hint="default"/>
        <w:b w:val="0"/>
        <w:i w:val="0"/>
        <w:color w:val="000000" w:themeColor="text1"/>
        <w:sz w:val="18"/>
      </w:rPr>
    </w:lvl>
    <w:lvl w:ilvl="2">
      <w:start w:val="1"/>
      <w:numFmt w:val="none"/>
      <w:lvlText w:val="4"/>
      <w:lvlJc w:val="left"/>
      <w:pPr>
        <w:ind w:left="1454" w:hanging="274"/>
      </w:pPr>
      <w:rPr>
        <w:rFonts w:ascii="Webdings" w:hAnsi="Webdings" w:hint="default"/>
        <w:b w:val="0"/>
        <w:i w:val="0"/>
        <w:color w:val="98002E" w:themeColor="accent1"/>
        <w:sz w:val="18"/>
      </w:rPr>
    </w:lvl>
    <w:lvl w:ilvl="3">
      <w:start w:val="1"/>
      <w:numFmt w:val="none"/>
      <w:lvlText w:val="4"/>
      <w:lvlJc w:val="left"/>
      <w:pPr>
        <w:ind w:left="2044" w:hanging="274"/>
      </w:pPr>
      <w:rPr>
        <w:rFonts w:ascii="Webdings" w:hAnsi="Webdings" w:hint="default"/>
        <w:b w:val="0"/>
        <w:i w:val="0"/>
        <w:color w:val="000000" w:themeColor="text1"/>
        <w:sz w:val="18"/>
      </w:rPr>
    </w:lvl>
    <w:lvl w:ilvl="4">
      <w:start w:val="1"/>
      <w:numFmt w:val="none"/>
      <w:lvlText w:val="4"/>
      <w:lvlJc w:val="left"/>
      <w:pPr>
        <w:ind w:left="2634" w:hanging="274"/>
      </w:pPr>
      <w:rPr>
        <w:rFonts w:ascii="Webdings" w:hAnsi="Webdings" w:hint="default"/>
        <w:b w:val="0"/>
        <w:i w:val="0"/>
        <w:color w:val="98002E" w:themeColor="accent1"/>
        <w:sz w:val="18"/>
      </w:rPr>
    </w:lvl>
    <w:lvl w:ilvl="5">
      <w:start w:val="1"/>
      <w:numFmt w:val="none"/>
      <w:lvlText w:val="4"/>
      <w:lvlJc w:val="left"/>
      <w:pPr>
        <w:ind w:left="3224" w:hanging="274"/>
      </w:pPr>
      <w:rPr>
        <w:rFonts w:ascii="Webdings" w:hAnsi="Webdings" w:hint="default"/>
        <w:b w:val="0"/>
        <w:i w:val="0"/>
        <w:color w:val="000000" w:themeColor="text1"/>
        <w:sz w:val="18"/>
      </w:rPr>
    </w:lvl>
    <w:lvl w:ilvl="6">
      <w:start w:val="1"/>
      <w:numFmt w:val="none"/>
      <w:lvlText w:val="4"/>
      <w:lvlJc w:val="left"/>
      <w:pPr>
        <w:ind w:left="3814" w:hanging="274"/>
      </w:pPr>
      <w:rPr>
        <w:rFonts w:ascii="Webdings" w:hAnsi="Webdings" w:hint="default"/>
        <w:b w:val="0"/>
        <w:i w:val="0"/>
        <w:color w:val="98002E" w:themeColor="accent1"/>
        <w:sz w:val="18"/>
      </w:rPr>
    </w:lvl>
    <w:lvl w:ilvl="7">
      <w:start w:val="1"/>
      <w:numFmt w:val="none"/>
      <w:lvlText w:val="4"/>
      <w:lvlJc w:val="left"/>
      <w:pPr>
        <w:ind w:left="4404" w:hanging="274"/>
      </w:pPr>
      <w:rPr>
        <w:rFonts w:ascii="Webdings" w:hAnsi="Webdings" w:hint="default"/>
        <w:b w:val="0"/>
        <w:i w:val="0"/>
        <w:color w:val="000000" w:themeColor="text1"/>
        <w:sz w:val="18"/>
      </w:rPr>
    </w:lvl>
    <w:lvl w:ilvl="8">
      <w:start w:val="1"/>
      <w:numFmt w:val="none"/>
      <w:lvlText w:val="4"/>
      <w:lvlJc w:val="left"/>
      <w:pPr>
        <w:ind w:left="4994" w:hanging="274"/>
      </w:pPr>
      <w:rPr>
        <w:rFonts w:ascii="Webdings" w:hAnsi="Webdings" w:hint="default"/>
        <w:b w:val="0"/>
        <w:i w:val="0"/>
        <w:color w:val="98002E" w:themeColor="accent1"/>
        <w:sz w:val="18"/>
      </w:rPr>
    </w:lvl>
  </w:abstractNum>
  <w:abstractNum w:abstractNumId="16">
    <w:nsid w:val="6678456A"/>
    <w:multiLevelType w:val="multilevel"/>
    <w:tmpl w:val="41FCBAE6"/>
    <w:numStyleLink w:val="NPBullets"/>
  </w:abstractNum>
  <w:abstractNum w:abstractNumId="17">
    <w:nsid w:val="6F1A0BC3"/>
    <w:multiLevelType w:val="hybridMultilevel"/>
    <w:tmpl w:val="03E609FE"/>
    <w:lvl w:ilvl="0" w:tplc="D562B7C8">
      <w:numFmt w:val="bullet"/>
      <w:lvlText w:val="-"/>
      <w:lvlJc w:val="left"/>
      <w:pPr>
        <w:ind w:left="720" w:hanging="360"/>
      </w:pPr>
      <w:rPr>
        <w:rFonts w:ascii="Century Schoolbook" w:eastAsiaTheme="minorHAnsi" w:hAnsi="Century School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6E7780"/>
    <w:multiLevelType w:val="hybridMultilevel"/>
    <w:tmpl w:val="74962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3"/>
  </w:num>
  <w:num w:numId="4">
    <w:abstractNumId w:val="14"/>
  </w:num>
  <w:num w:numId="5">
    <w:abstractNumId w:val="4"/>
  </w:num>
  <w:num w:numId="6">
    <w:abstractNumId w:val="0"/>
  </w:num>
  <w:num w:numId="7">
    <w:abstractNumId w:val="17"/>
  </w:num>
  <w:num w:numId="8">
    <w:abstractNumId w:val="7"/>
  </w:num>
  <w:num w:numId="9">
    <w:abstractNumId w:val="12"/>
  </w:num>
  <w:num w:numId="10">
    <w:abstractNumId w:val="1"/>
  </w:num>
  <w:num w:numId="11">
    <w:abstractNumId w:val="11"/>
  </w:num>
  <w:num w:numId="12">
    <w:abstractNumId w:val="8"/>
  </w:num>
  <w:num w:numId="13">
    <w:abstractNumId w:val="15"/>
    <w:lvlOverride w:ilvl="0">
      <w:lvl w:ilvl="0">
        <w:start w:val="1"/>
        <w:numFmt w:val="none"/>
        <w:lvlText w:val="4"/>
        <w:lvlJc w:val="left"/>
        <w:pPr>
          <w:ind w:left="274" w:hanging="274"/>
        </w:pPr>
        <w:rPr>
          <w:rFonts w:ascii="Webdings" w:hAnsi="Webdings" w:hint="default"/>
          <w:b w:val="0"/>
          <w:i w:val="0"/>
          <w:color w:val="98002E" w:themeColor="accent1"/>
          <w:sz w:val="22"/>
        </w:rPr>
      </w:lvl>
    </w:lvlOverride>
  </w:num>
  <w:num w:numId="14">
    <w:abstractNumId w:val="13"/>
  </w:num>
  <w:num w:numId="15">
    <w:abstractNumId w:val="6"/>
  </w:num>
  <w:num w:numId="16">
    <w:abstractNumId w:val="2"/>
  </w:num>
  <w:num w:numId="17">
    <w:abstractNumId w:val="16"/>
  </w:num>
  <w:num w:numId="18">
    <w:abstractNumId w:val="1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evenAndOddHeaders/>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378"/>
    <w:rsid w:val="00011C2F"/>
    <w:rsid w:val="00011E76"/>
    <w:rsid w:val="00025BAF"/>
    <w:rsid w:val="000341EA"/>
    <w:rsid w:val="0003767C"/>
    <w:rsid w:val="0004517A"/>
    <w:rsid w:val="000A17E7"/>
    <w:rsid w:val="000A7408"/>
    <w:rsid w:val="000B1F03"/>
    <w:rsid w:val="000C0FE2"/>
    <w:rsid w:val="000E15E6"/>
    <w:rsid w:val="00123115"/>
    <w:rsid w:val="00132AEC"/>
    <w:rsid w:val="001418DF"/>
    <w:rsid w:val="0014774A"/>
    <w:rsid w:val="0015696F"/>
    <w:rsid w:val="00190A20"/>
    <w:rsid w:val="001B00D4"/>
    <w:rsid w:val="001D390D"/>
    <w:rsid w:val="001D5CA0"/>
    <w:rsid w:val="001E178C"/>
    <w:rsid w:val="00213583"/>
    <w:rsid w:val="00214F9B"/>
    <w:rsid w:val="00240D7D"/>
    <w:rsid w:val="00272EBE"/>
    <w:rsid w:val="00285100"/>
    <w:rsid w:val="002B16E0"/>
    <w:rsid w:val="00305B99"/>
    <w:rsid w:val="00311376"/>
    <w:rsid w:val="003175A6"/>
    <w:rsid w:val="0033557C"/>
    <w:rsid w:val="00345228"/>
    <w:rsid w:val="003870B1"/>
    <w:rsid w:val="00397796"/>
    <w:rsid w:val="003A5282"/>
    <w:rsid w:val="003C3F5E"/>
    <w:rsid w:val="003C6A3F"/>
    <w:rsid w:val="004135A7"/>
    <w:rsid w:val="004248D2"/>
    <w:rsid w:val="004407D3"/>
    <w:rsid w:val="004B5B15"/>
    <w:rsid w:val="004E6CDF"/>
    <w:rsid w:val="005048EC"/>
    <w:rsid w:val="005268DC"/>
    <w:rsid w:val="0054503F"/>
    <w:rsid w:val="00565AE7"/>
    <w:rsid w:val="00575959"/>
    <w:rsid w:val="005B3150"/>
    <w:rsid w:val="005B34C4"/>
    <w:rsid w:val="005C299C"/>
    <w:rsid w:val="005F0308"/>
    <w:rsid w:val="0062072F"/>
    <w:rsid w:val="00627696"/>
    <w:rsid w:val="0068765E"/>
    <w:rsid w:val="00690882"/>
    <w:rsid w:val="00692B70"/>
    <w:rsid w:val="006A1F8F"/>
    <w:rsid w:val="006E3501"/>
    <w:rsid w:val="006E4543"/>
    <w:rsid w:val="006E7B70"/>
    <w:rsid w:val="007068A5"/>
    <w:rsid w:val="00751865"/>
    <w:rsid w:val="00753252"/>
    <w:rsid w:val="007709B4"/>
    <w:rsid w:val="00795683"/>
    <w:rsid w:val="007D314E"/>
    <w:rsid w:val="007E51A6"/>
    <w:rsid w:val="00801173"/>
    <w:rsid w:val="00807135"/>
    <w:rsid w:val="008520D3"/>
    <w:rsid w:val="00857FFC"/>
    <w:rsid w:val="008A1189"/>
    <w:rsid w:val="008C6B64"/>
    <w:rsid w:val="008D14A5"/>
    <w:rsid w:val="008D5014"/>
    <w:rsid w:val="008E0BE2"/>
    <w:rsid w:val="009175C5"/>
    <w:rsid w:val="0093068C"/>
    <w:rsid w:val="009519F6"/>
    <w:rsid w:val="00982F85"/>
    <w:rsid w:val="009A3788"/>
    <w:rsid w:val="009B27EF"/>
    <w:rsid w:val="009C6BF0"/>
    <w:rsid w:val="00A00A05"/>
    <w:rsid w:val="00A00DDA"/>
    <w:rsid w:val="00A02A31"/>
    <w:rsid w:val="00A77EA3"/>
    <w:rsid w:val="00A8192A"/>
    <w:rsid w:val="00A94453"/>
    <w:rsid w:val="00AA1378"/>
    <w:rsid w:val="00AC0345"/>
    <w:rsid w:val="00AC0C32"/>
    <w:rsid w:val="00AD7BCC"/>
    <w:rsid w:val="00AE02D3"/>
    <w:rsid w:val="00AE42E4"/>
    <w:rsid w:val="00B027BB"/>
    <w:rsid w:val="00B32065"/>
    <w:rsid w:val="00B47BA5"/>
    <w:rsid w:val="00B52881"/>
    <w:rsid w:val="00B8715B"/>
    <w:rsid w:val="00B954A3"/>
    <w:rsid w:val="00BC4097"/>
    <w:rsid w:val="00BD62D8"/>
    <w:rsid w:val="00C0386F"/>
    <w:rsid w:val="00C2072D"/>
    <w:rsid w:val="00C25FB1"/>
    <w:rsid w:val="00C476A5"/>
    <w:rsid w:val="00C75010"/>
    <w:rsid w:val="00CC3AC5"/>
    <w:rsid w:val="00CC7E6C"/>
    <w:rsid w:val="00D5617D"/>
    <w:rsid w:val="00D57D08"/>
    <w:rsid w:val="00D856FF"/>
    <w:rsid w:val="00D87581"/>
    <w:rsid w:val="00E64F95"/>
    <w:rsid w:val="00E72EE8"/>
    <w:rsid w:val="00E819B1"/>
    <w:rsid w:val="00E86EBC"/>
    <w:rsid w:val="00EC0D97"/>
    <w:rsid w:val="00ED06D3"/>
    <w:rsid w:val="00EF63EC"/>
    <w:rsid w:val="00F130B6"/>
    <w:rsid w:val="00F200C4"/>
    <w:rsid w:val="00F23D6F"/>
    <w:rsid w:val="00F46745"/>
    <w:rsid w:val="00F77760"/>
    <w:rsid w:val="00FE6BA5"/>
    <w:rsid w:val="00FE7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1 - Normal"/>
    <w:qFormat/>
    <w:rsid w:val="004E6CD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NPWF">
    <w:name w:val="Headline - NPWF"/>
    <w:next w:val="Normal"/>
    <w:link w:val="Headline-NPWFChar"/>
    <w:qFormat/>
    <w:rsid w:val="00345228"/>
    <w:rPr>
      <w:rFonts w:ascii="Segoe UI" w:hAnsi="Segoe UI"/>
      <w:b/>
      <w:color w:val="000000" w:themeColor="text1"/>
      <w:sz w:val="46"/>
    </w:rPr>
  </w:style>
  <w:style w:type="character" w:customStyle="1" w:styleId="Headline-NPWFChar">
    <w:name w:val="Headline - NPWF Char"/>
    <w:basedOn w:val="DefaultParagraphFont"/>
    <w:link w:val="Headline-NPWF"/>
    <w:rsid w:val="00345228"/>
    <w:rPr>
      <w:rFonts w:ascii="Segoe UI" w:hAnsi="Segoe UI"/>
      <w:b/>
      <w:color w:val="000000" w:themeColor="text1"/>
      <w:sz w:val="46"/>
    </w:rPr>
  </w:style>
  <w:style w:type="paragraph" w:styleId="ListParagraph">
    <w:name w:val="List Paragraph"/>
    <w:basedOn w:val="Normal"/>
    <w:uiPriority w:val="34"/>
    <w:rsid w:val="001B00D4"/>
    <w:pPr>
      <w:ind w:left="720"/>
      <w:contextualSpacing/>
    </w:pPr>
    <w:rPr>
      <w:rFonts w:ascii="Century Schoolbook" w:eastAsiaTheme="minorHAnsi" w:hAnsi="Century Schoolbook"/>
      <w:color w:val="000000" w:themeColor="text1"/>
    </w:rPr>
  </w:style>
  <w:style w:type="paragraph" w:customStyle="1" w:styleId="Date-NPWF">
    <w:name w:val="Date - NPWF"/>
    <w:next w:val="Normal"/>
    <w:link w:val="Date-NPWFChar"/>
    <w:qFormat/>
    <w:rsid w:val="00345228"/>
    <w:pPr>
      <w:spacing w:before="120"/>
    </w:pPr>
    <w:rPr>
      <w:rFonts w:ascii="Segoe UI" w:hAnsi="Segoe UI"/>
      <w:b/>
      <w:color w:val="000000" w:themeColor="text1"/>
      <w:sz w:val="20"/>
    </w:rPr>
  </w:style>
  <w:style w:type="paragraph" w:customStyle="1" w:styleId="Subhead-NPWF">
    <w:name w:val="Subhead - NPWF"/>
    <w:next w:val="Normal"/>
    <w:link w:val="Subhead-NPWFChar"/>
    <w:qFormat/>
    <w:rsid w:val="000A7408"/>
    <w:pPr>
      <w:spacing w:before="320" w:after="120"/>
    </w:pPr>
    <w:rPr>
      <w:rFonts w:ascii="Segoe UI" w:hAnsi="Segoe UI"/>
      <w:color w:val="98002E"/>
      <w:sz w:val="36"/>
    </w:rPr>
  </w:style>
  <w:style w:type="character" w:customStyle="1" w:styleId="Date-NPWFChar">
    <w:name w:val="Date - NPWF Char"/>
    <w:basedOn w:val="DefaultParagraphFont"/>
    <w:link w:val="Date-NPWF"/>
    <w:rsid w:val="00345228"/>
    <w:rPr>
      <w:rFonts w:ascii="Segoe UI" w:hAnsi="Segoe UI"/>
      <w:b/>
      <w:color w:val="000000" w:themeColor="text1"/>
      <w:sz w:val="20"/>
    </w:rPr>
  </w:style>
  <w:style w:type="paragraph" w:customStyle="1" w:styleId="HeadlineEmphasis-NPWF">
    <w:name w:val="Headline Emphasis - NPWF"/>
    <w:next w:val="Normal"/>
    <w:link w:val="HeadlineEmphasis-NPWFChar"/>
    <w:qFormat/>
    <w:rsid w:val="00345228"/>
    <w:rPr>
      <w:rFonts w:ascii="Segoe UI" w:hAnsi="Segoe UI"/>
      <w:b/>
      <w:color w:val="98002E"/>
      <w:sz w:val="46"/>
    </w:rPr>
  </w:style>
  <w:style w:type="character" w:customStyle="1" w:styleId="Subhead-NPWFChar">
    <w:name w:val="Subhead - NPWF Char"/>
    <w:basedOn w:val="DefaultParagraphFont"/>
    <w:link w:val="Subhead-NPWF"/>
    <w:rsid w:val="000A7408"/>
    <w:rPr>
      <w:rFonts w:ascii="Segoe UI" w:hAnsi="Segoe UI"/>
      <w:color w:val="98002E"/>
      <w:sz w:val="36"/>
    </w:rPr>
  </w:style>
  <w:style w:type="paragraph" w:customStyle="1" w:styleId="Bold-NPWF">
    <w:name w:val="Bold - NPWF"/>
    <w:next w:val="Normal"/>
    <w:link w:val="Bold-NPWFChar"/>
    <w:qFormat/>
    <w:rsid w:val="00345228"/>
    <w:rPr>
      <w:rFonts w:ascii="Segoe UI" w:hAnsi="Segoe UI"/>
      <w:b/>
      <w:color w:val="000000" w:themeColor="text1"/>
    </w:rPr>
  </w:style>
  <w:style w:type="character" w:customStyle="1" w:styleId="HeadlineEmphasis-NPWFChar">
    <w:name w:val="Headline Emphasis - NPWF Char"/>
    <w:basedOn w:val="Headline-NPWFChar"/>
    <w:link w:val="HeadlineEmphasis-NPWF"/>
    <w:rsid w:val="00345228"/>
    <w:rPr>
      <w:rFonts w:ascii="Segoe UI" w:hAnsi="Segoe UI"/>
      <w:b/>
      <w:color w:val="98002E"/>
      <w:sz w:val="46"/>
    </w:rPr>
  </w:style>
  <w:style w:type="character" w:customStyle="1" w:styleId="Bold-NPWFChar">
    <w:name w:val="Bold - NPWF Char"/>
    <w:basedOn w:val="DefaultParagraphFont"/>
    <w:link w:val="Bold-NPWF"/>
    <w:rsid w:val="00345228"/>
    <w:rPr>
      <w:rFonts w:ascii="Segoe UI" w:hAnsi="Segoe UI"/>
      <w:b/>
      <w:color w:val="000000" w:themeColor="text1"/>
    </w:rPr>
  </w:style>
  <w:style w:type="paragraph" w:customStyle="1" w:styleId="TextBox-NPWF">
    <w:name w:val="TextBox - NPWF"/>
    <w:link w:val="TextBox-NPWFChar"/>
    <w:qFormat/>
    <w:rsid w:val="0062072F"/>
    <w:pPr>
      <w:widowControl w:val="0"/>
      <w:suppressAutoHyphens/>
    </w:pPr>
    <w:rPr>
      <w:rFonts w:ascii="Segoe UI" w:hAnsi="Segoe UI"/>
      <w:b/>
      <w:color w:val="98002E"/>
      <w:sz w:val="24"/>
    </w:rPr>
  </w:style>
  <w:style w:type="paragraph" w:customStyle="1" w:styleId="TextBoxCallout-NPWF">
    <w:name w:val="TextBox Callout - NPWF"/>
    <w:link w:val="TextBoxCallout-NPWFChar"/>
    <w:qFormat/>
    <w:rsid w:val="0062072F"/>
    <w:pPr>
      <w:widowControl w:val="0"/>
      <w:suppressAutoHyphens/>
      <w:spacing w:before="160"/>
    </w:pPr>
    <w:rPr>
      <w:rFonts w:ascii="Segoe UI" w:hAnsi="Segoe UI"/>
      <w:b/>
      <w:color w:val="000000" w:themeColor="text1"/>
      <w:sz w:val="18"/>
    </w:rPr>
  </w:style>
  <w:style w:type="character" w:customStyle="1" w:styleId="TextBox-NPWFChar">
    <w:name w:val="TextBox - NPWF Char"/>
    <w:basedOn w:val="DefaultParagraphFont"/>
    <w:link w:val="TextBox-NPWF"/>
    <w:rsid w:val="0062072F"/>
    <w:rPr>
      <w:rFonts w:ascii="Segoe UI" w:hAnsi="Segoe UI"/>
      <w:b/>
      <w:color w:val="98002E"/>
      <w:sz w:val="24"/>
    </w:rPr>
  </w:style>
  <w:style w:type="paragraph" w:customStyle="1" w:styleId="FS-CalloutWithRules">
    <w:name w:val="FS-Callout With Rules"/>
    <w:basedOn w:val="Normal"/>
    <w:rsid w:val="00123115"/>
    <w:pPr>
      <w:widowControl w:val="0"/>
      <w:pBdr>
        <w:top w:val="single" w:sz="4" w:space="20" w:color="000000"/>
      </w:pBdr>
      <w:tabs>
        <w:tab w:val="left" w:pos="240"/>
        <w:tab w:val="left" w:pos="480"/>
      </w:tabs>
      <w:suppressAutoHyphens/>
      <w:autoSpaceDE w:val="0"/>
      <w:autoSpaceDN w:val="0"/>
      <w:adjustRightInd w:val="0"/>
      <w:textAlignment w:val="center"/>
    </w:pPr>
    <w:rPr>
      <w:rFonts w:ascii="Segoe UI" w:eastAsia="Times New Roman" w:hAnsi="Segoe UI" w:cs="TwCenMT-Bold"/>
      <w:b/>
      <w:bCs/>
      <w:color w:val="98002E"/>
      <w:spacing w:val="-5"/>
      <w:sz w:val="24"/>
      <w:szCs w:val="27"/>
      <w:lang w:bidi="en-US"/>
    </w:rPr>
  </w:style>
  <w:style w:type="character" w:customStyle="1" w:styleId="TextBoxCallout-NPWFChar">
    <w:name w:val="TextBox Callout - NPWF Char"/>
    <w:basedOn w:val="DefaultParagraphFont"/>
    <w:link w:val="TextBoxCallout-NPWF"/>
    <w:rsid w:val="0062072F"/>
    <w:rPr>
      <w:rFonts w:ascii="Segoe UI" w:hAnsi="Segoe UI"/>
      <w:b/>
      <w:color w:val="000000" w:themeColor="text1"/>
      <w:sz w:val="18"/>
    </w:rPr>
  </w:style>
  <w:style w:type="paragraph" w:customStyle="1" w:styleId="FS-CalloutAuthor">
    <w:name w:val="FS-Callout Author"/>
    <w:basedOn w:val="Normal"/>
    <w:rsid w:val="00123115"/>
    <w:pPr>
      <w:widowControl w:val="0"/>
      <w:pBdr>
        <w:bottom w:val="single" w:sz="4" w:space="12" w:color="000000"/>
      </w:pBdr>
      <w:tabs>
        <w:tab w:val="left" w:pos="240"/>
        <w:tab w:val="left" w:pos="480"/>
      </w:tabs>
      <w:suppressAutoHyphens/>
      <w:autoSpaceDE w:val="0"/>
      <w:autoSpaceDN w:val="0"/>
      <w:adjustRightInd w:val="0"/>
      <w:spacing w:before="160"/>
      <w:textAlignment w:val="center"/>
    </w:pPr>
    <w:rPr>
      <w:rFonts w:ascii="Segoe UI" w:eastAsia="Times New Roman" w:hAnsi="Segoe UI" w:cs="TwCenMT-Bold"/>
      <w:b/>
      <w:bCs/>
      <w:color w:val="000000"/>
      <w:spacing w:val="-3"/>
      <w:sz w:val="18"/>
      <w:szCs w:val="18"/>
      <w:lang w:bidi="en-US"/>
    </w:rPr>
  </w:style>
  <w:style w:type="paragraph" w:styleId="EndnoteText">
    <w:name w:val="endnote text"/>
    <w:basedOn w:val="BodyText"/>
    <w:link w:val="EndnoteTextChar"/>
    <w:uiPriority w:val="99"/>
    <w:unhideWhenUsed/>
    <w:rsid w:val="001E178C"/>
    <w:pPr>
      <w:spacing w:after="40"/>
    </w:pPr>
    <w:rPr>
      <w:rFonts w:ascii="Segoe UI" w:hAnsi="Segoe UI"/>
      <w:position w:val="6"/>
      <w:sz w:val="12"/>
      <w:szCs w:val="20"/>
    </w:rPr>
  </w:style>
  <w:style w:type="character" w:customStyle="1" w:styleId="EndnoteTextChar">
    <w:name w:val="Endnote Text Char"/>
    <w:basedOn w:val="DefaultParagraphFont"/>
    <w:link w:val="EndnoteText"/>
    <w:uiPriority w:val="99"/>
    <w:rsid w:val="001E178C"/>
    <w:rPr>
      <w:rFonts w:ascii="Segoe UI" w:eastAsiaTheme="minorEastAsia" w:hAnsi="Segoe UI"/>
      <w:position w:val="6"/>
      <w:sz w:val="12"/>
      <w:szCs w:val="20"/>
    </w:rPr>
  </w:style>
  <w:style w:type="character" w:styleId="EndnoteReference">
    <w:name w:val="endnote reference"/>
    <w:basedOn w:val="DefaultParagraphFont"/>
    <w:uiPriority w:val="99"/>
    <w:unhideWhenUsed/>
    <w:rsid w:val="00B47BA5"/>
    <w:rPr>
      <w:rFonts w:ascii="Segoe UI" w:hAnsi="Segoe UI"/>
      <w:b w:val="0"/>
      <w:i w:val="0"/>
      <w:vanish w:val="0"/>
      <w:spacing w:val="0"/>
      <w:w w:val="100"/>
      <w:position w:val="6"/>
      <w:sz w:val="12"/>
      <w:vertAlign w:val="baseline"/>
    </w:rPr>
  </w:style>
  <w:style w:type="paragraph" w:styleId="NoSpacing">
    <w:name w:val="No Spacing"/>
    <w:uiPriority w:val="1"/>
    <w:rsid w:val="001E178C"/>
    <w:rPr>
      <w:rFonts w:eastAsiaTheme="minorEastAsia"/>
    </w:rPr>
  </w:style>
  <w:style w:type="paragraph" w:styleId="BodyText">
    <w:name w:val="Body Text"/>
    <w:basedOn w:val="Normal"/>
    <w:link w:val="BodyTextChar"/>
    <w:uiPriority w:val="99"/>
    <w:semiHidden/>
    <w:unhideWhenUsed/>
    <w:rsid w:val="001E178C"/>
    <w:pPr>
      <w:spacing w:after="120"/>
    </w:pPr>
  </w:style>
  <w:style w:type="character" w:customStyle="1" w:styleId="BodyTextChar">
    <w:name w:val="Body Text Char"/>
    <w:basedOn w:val="DefaultParagraphFont"/>
    <w:link w:val="BodyText"/>
    <w:uiPriority w:val="99"/>
    <w:semiHidden/>
    <w:rsid w:val="001E178C"/>
    <w:rPr>
      <w:rFonts w:eastAsiaTheme="minorEastAsia"/>
    </w:rPr>
  </w:style>
  <w:style w:type="numbering" w:customStyle="1" w:styleId="NPBullets">
    <w:name w:val="NP Bullets"/>
    <w:uiPriority w:val="99"/>
    <w:rsid w:val="00A8192A"/>
    <w:pPr>
      <w:numPr>
        <w:numId w:val="16"/>
      </w:numPr>
    </w:pPr>
  </w:style>
  <w:style w:type="character" w:styleId="CommentReference">
    <w:name w:val="annotation reference"/>
    <w:basedOn w:val="DefaultParagraphFont"/>
    <w:uiPriority w:val="99"/>
    <w:semiHidden/>
    <w:unhideWhenUsed/>
    <w:rsid w:val="0033557C"/>
    <w:rPr>
      <w:sz w:val="16"/>
      <w:szCs w:val="16"/>
    </w:rPr>
  </w:style>
  <w:style w:type="paragraph" w:styleId="CommentText">
    <w:name w:val="annotation text"/>
    <w:basedOn w:val="Normal"/>
    <w:link w:val="CommentTextChar"/>
    <w:uiPriority w:val="99"/>
    <w:semiHidden/>
    <w:unhideWhenUsed/>
    <w:rsid w:val="0033557C"/>
    <w:rPr>
      <w:sz w:val="20"/>
      <w:szCs w:val="20"/>
    </w:rPr>
  </w:style>
  <w:style w:type="character" w:customStyle="1" w:styleId="CommentTextChar">
    <w:name w:val="Comment Text Char"/>
    <w:basedOn w:val="DefaultParagraphFont"/>
    <w:link w:val="CommentText"/>
    <w:uiPriority w:val="99"/>
    <w:semiHidden/>
    <w:rsid w:val="0033557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3557C"/>
    <w:rPr>
      <w:b/>
      <w:bCs/>
    </w:rPr>
  </w:style>
  <w:style w:type="character" w:customStyle="1" w:styleId="CommentSubjectChar">
    <w:name w:val="Comment Subject Char"/>
    <w:basedOn w:val="CommentTextChar"/>
    <w:link w:val="CommentSubject"/>
    <w:uiPriority w:val="99"/>
    <w:semiHidden/>
    <w:rsid w:val="0033557C"/>
    <w:rPr>
      <w:rFonts w:eastAsiaTheme="minorEastAsia"/>
      <w:b/>
      <w:bCs/>
      <w:sz w:val="20"/>
      <w:szCs w:val="20"/>
    </w:rPr>
  </w:style>
  <w:style w:type="paragraph" w:styleId="BalloonText">
    <w:name w:val="Balloon Text"/>
    <w:basedOn w:val="Normal"/>
    <w:link w:val="BalloonTextChar"/>
    <w:uiPriority w:val="99"/>
    <w:semiHidden/>
    <w:unhideWhenUsed/>
    <w:rsid w:val="0033557C"/>
    <w:rPr>
      <w:rFonts w:ascii="Tahoma" w:hAnsi="Tahoma" w:cs="Tahoma"/>
      <w:sz w:val="16"/>
      <w:szCs w:val="16"/>
    </w:rPr>
  </w:style>
  <w:style w:type="character" w:customStyle="1" w:styleId="BalloonTextChar">
    <w:name w:val="Balloon Text Char"/>
    <w:basedOn w:val="DefaultParagraphFont"/>
    <w:link w:val="BalloonText"/>
    <w:uiPriority w:val="99"/>
    <w:semiHidden/>
    <w:rsid w:val="0033557C"/>
    <w:rPr>
      <w:rFonts w:ascii="Tahoma" w:eastAsiaTheme="minorEastAsia" w:hAnsi="Tahoma" w:cs="Tahoma"/>
      <w:sz w:val="16"/>
      <w:szCs w:val="16"/>
    </w:rPr>
  </w:style>
  <w:style w:type="character" w:styleId="Hyperlink">
    <w:name w:val="Hyperlink"/>
    <w:basedOn w:val="DefaultParagraphFont"/>
    <w:uiPriority w:val="99"/>
    <w:unhideWhenUsed/>
    <w:rsid w:val="00E819B1"/>
    <w:rPr>
      <w:color w:val="0000FF" w:themeColor="hyperlink"/>
      <w:u w:val="single"/>
    </w:rPr>
  </w:style>
  <w:style w:type="paragraph" w:styleId="Header">
    <w:name w:val="header"/>
    <w:basedOn w:val="Normal"/>
    <w:link w:val="HeaderChar"/>
    <w:uiPriority w:val="99"/>
    <w:unhideWhenUsed/>
    <w:rsid w:val="00E72EE8"/>
    <w:pPr>
      <w:tabs>
        <w:tab w:val="center" w:pos="4680"/>
        <w:tab w:val="right" w:pos="9360"/>
      </w:tabs>
    </w:pPr>
  </w:style>
  <w:style w:type="character" w:customStyle="1" w:styleId="HeaderChar">
    <w:name w:val="Header Char"/>
    <w:basedOn w:val="DefaultParagraphFont"/>
    <w:link w:val="Header"/>
    <w:uiPriority w:val="99"/>
    <w:rsid w:val="00E72EE8"/>
    <w:rPr>
      <w:rFonts w:eastAsiaTheme="minorEastAsia"/>
    </w:rPr>
  </w:style>
  <w:style w:type="paragraph" w:styleId="Footer">
    <w:name w:val="footer"/>
    <w:basedOn w:val="Normal"/>
    <w:link w:val="FooterChar"/>
    <w:unhideWhenUsed/>
    <w:rsid w:val="00E72EE8"/>
    <w:pPr>
      <w:tabs>
        <w:tab w:val="center" w:pos="4680"/>
        <w:tab w:val="right" w:pos="9360"/>
      </w:tabs>
    </w:pPr>
  </w:style>
  <w:style w:type="character" w:customStyle="1" w:styleId="FooterChar">
    <w:name w:val="Footer Char"/>
    <w:basedOn w:val="DefaultParagraphFont"/>
    <w:link w:val="Footer"/>
    <w:rsid w:val="00E72EE8"/>
    <w:rPr>
      <w:rFonts w:eastAsiaTheme="minorEastAsia"/>
    </w:rPr>
  </w:style>
  <w:style w:type="character" w:customStyle="1" w:styleId="FS-EndnoteText">
    <w:name w:val="FS-Endnote Text"/>
    <w:rsid w:val="00E72EE8"/>
    <w:rPr>
      <w:rFonts w:ascii="Segoe UI" w:hAnsi="Segoe UI"/>
      <w:spacing w:val="0"/>
      <w:w w:val="100"/>
      <w:position w:val="6"/>
      <w:sz w:val="9"/>
    </w:rPr>
  </w:style>
  <w:style w:type="character" w:styleId="PageNumber">
    <w:name w:val="page number"/>
    <w:basedOn w:val="DefaultParagraphFont"/>
    <w:rsid w:val="00E72EE8"/>
    <w:rPr>
      <w:rFonts w:ascii="Segoe UI" w:hAnsi="Segoe UI" w:cs="Times New Roman"/>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1 - Normal"/>
    <w:qFormat/>
    <w:rsid w:val="004E6CD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NPWF">
    <w:name w:val="Headline - NPWF"/>
    <w:next w:val="Normal"/>
    <w:link w:val="Headline-NPWFChar"/>
    <w:qFormat/>
    <w:rsid w:val="00345228"/>
    <w:rPr>
      <w:rFonts w:ascii="Segoe UI" w:hAnsi="Segoe UI"/>
      <w:b/>
      <w:color w:val="000000" w:themeColor="text1"/>
      <w:sz w:val="46"/>
    </w:rPr>
  </w:style>
  <w:style w:type="character" w:customStyle="1" w:styleId="Headline-NPWFChar">
    <w:name w:val="Headline - NPWF Char"/>
    <w:basedOn w:val="DefaultParagraphFont"/>
    <w:link w:val="Headline-NPWF"/>
    <w:rsid w:val="00345228"/>
    <w:rPr>
      <w:rFonts w:ascii="Segoe UI" w:hAnsi="Segoe UI"/>
      <w:b/>
      <w:color w:val="000000" w:themeColor="text1"/>
      <w:sz w:val="46"/>
    </w:rPr>
  </w:style>
  <w:style w:type="paragraph" w:styleId="ListParagraph">
    <w:name w:val="List Paragraph"/>
    <w:basedOn w:val="Normal"/>
    <w:uiPriority w:val="34"/>
    <w:rsid w:val="001B00D4"/>
    <w:pPr>
      <w:ind w:left="720"/>
      <w:contextualSpacing/>
    </w:pPr>
    <w:rPr>
      <w:rFonts w:ascii="Century Schoolbook" w:eastAsiaTheme="minorHAnsi" w:hAnsi="Century Schoolbook"/>
      <w:color w:val="000000" w:themeColor="text1"/>
    </w:rPr>
  </w:style>
  <w:style w:type="paragraph" w:customStyle="1" w:styleId="Date-NPWF">
    <w:name w:val="Date - NPWF"/>
    <w:next w:val="Normal"/>
    <w:link w:val="Date-NPWFChar"/>
    <w:qFormat/>
    <w:rsid w:val="00345228"/>
    <w:pPr>
      <w:spacing w:before="120"/>
    </w:pPr>
    <w:rPr>
      <w:rFonts w:ascii="Segoe UI" w:hAnsi="Segoe UI"/>
      <w:b/>
      <w:color w:val="000000" w:themeColor="text1"/>
      <w:sz w:val="20"/>
    </w:rPr>
  </w:style>
  <w:style w:type="paragraph" w:customStyle="1" w:styleId="Subhead-NPWF">
    <w:name w:val="Subhead - NPWF"/>
    <w:next w:val="Normal"/>
    <w:link w:val="Subhead-NPWFChar"/>
    <w:qFormat/>
    <w:rsid w:val="000A7408"/>
    <w:pPr>
      <w:spacing w:before="320" w:after="120"/>
    </w:pPr>
    <w:rPr>
      <w:rFonts w:ascii="Segoe UI" w:hAnsi="Segoe UI"/>
      <w:color w:val="98002E"/>
      <w:sz w:val="36"/>
    </w:rPr>
  </w:style>
  <w:style w:type="character" w:customStyle="1" w:styleId="Date-NPWFChar">
    <w:name w:val="Date - NPWF Char"/>
    <w:basedOn w:val="DefaultParagraphFont"/>
    <w:link w:val="Date-NPWF"/>
    <w:rsid w:val="00345228"/>
    <w:rPr>
      <w:rFonts w:ascii="Segoe UI" w:hAnsi="Segoe UI"/>
      <w:b/>
      <w:color w:val="000000" w:themeColor="text1"/>
      <w:sz w:val="20"/>
    </w:rPr>
  </w:style>
  <w:style w:type="paragraph" w:customStyle="1" w:styleId="HeadlineEmphasis-NPWF">
    <w:name w:val="Headline Emphasis - NPWF"/>
    <w:next w:val="Normal"/>
    <w:link w:val="HeadlineEmphasis-NPWFChar"/>
    <w:qFormat/>
    <w:rsid w:val="00345228"/>
    <w:rPr>
      <w:rFonts w:ascii="Segoe UI" w:hAnsi="Segoe UI"/>
      <w:b/>
      <w:color w:val="98002E"/>
      <w:sz w:val="46"/>
    </w:rPr>
  </w:style>
  <w:style w:type="character" w:customStyle="1" w:styleId="Subhead-NPWFChar">
    <w:name w:val="Subhead - NPWF Char"/>
    <w:basedOn w:val="DefaultParagraphFont"/>
    <w:link w:val="Subhead-NPWF"/>
    <w:rsid w:val="000A7408"/>
    <w:rPr>
      <w:rFonts w:ascii="Segoe UI" w:hAnsi="Segoe UI"/>
      <w:color w:val="98002E"/>
      <w:sz w:val="36"/>
    </w:rPr>
  </w:style>
  <w:style w:type="paragraph" w:customStyle="1" w:styleId="Bold-NPWF">
    <w:name w:val="Bold - NPWF"/>
    <w:next w:val="Normal"/>
    <w:link w:val="Bold-NPWFChar"/>
    <w:qFormat/>
    <w:rsid w:val="00345228"/>
    <w:rPr>
      <w:rFonts w:ascii="Segoe UI" w:hAnsi="Segoe UI"/>
      <w:b/>
      <w:color w:val="000000" w:themeColor="text1"/>
    </w:rPr>
  </w:style>
  <w:style w:type="character" w:customStyle="1" w:styleId="HeadlineEmphasis-NPWFChar">
    <w:name w:val="Headline Emphasis - NPWF Char"/>
    <w:basedOn w:val="Headline-NPWFChar"/>
    <w:link w:val="HeadlineEmphasis-NPWF"/>
    <w:rsid w:val="00345228"/>
    <w:rPr>
      <w:rFonts w:ascii="Segoe UI" w:hAnsi="Segoe UI"/>
      <w:b/>
      <w:color w:val="98002E"/>
      <w:sz w:val="46"/>
    </w:rPr>
  </w:style>
  <w:style w:type="character" w:customStyle="1" w:styleId="Bold-NPWFChar">
    <w:name w:val="Bold - NPWF Char"/>
    <w:basedOn w:val="DefaultParagraphFont"/>
    <w:link w:val="Bold-NPWF"/>
    <w:rsid w:val="00345228"/>
    <w:rPr>
      <w:rFonts w:ascii="Segoe UI" w:hAnsi="Segoe UI"/>
      <w:b/>
      <w:color w:val="000000" w:themeColor="text1"/>
    </w:rPr>
  </w:style>
  <w:style w:type="paragraph" w:customStyle="1" w:styleId="TextBox-NPWF">
    <w:name w:val="TextBox - NPWF"/>
    <w:link w:val="TextBox-NPWFChar"/>
    <w:qFormat/>
    <w:rsid w:val="0062072F"/>
    <w:pPr>
      <w:widowControl w:val="0"/>
      <w:suppressAutoHyphens/>
    </w:pPr>
    <w:rPr>
      <w:rFonts w:ascii="Segoe UI" w:hAnsi="Segoe UI"/>
      <w:b/>
      <w:color w:val="98002E"/>
      <w:sz w:val="24"/>
    </w:rPr>
  </w:style>
  <w:style w:type="paragraph" w:customStyle="1" w:styleId="TextBoxCallout-NPWF">
    <w:name w:val="TextBox Callout - NPWF"/>
    <w:link w:val="TextBoxCallout-NPWFChar"/>
    <w:qFormat/>
    <w:rsid w:val="0062072F"/>
    <w:pPr>
      <w:widowControl w:val="0"/>
      <w:suppressAutoHyphens/>
      <w:spacing w:before="160"/>
    </w:pPr>
    <w:rPr>
      <w:rFonts w:ascii="Segoe UI" w:hAnsi="Segoe UI"/>
      <w:b/>
      <w:color w:val="000000" w:themeColor="text1"/>
      <w:sz w:val="18"/>
    </w:rPr>
  </w:style>
  <w:style w:type="character" w:customStyle="1" w:styleId="TextBox-NPWFChar">
    <w:name w:val="TextBox - NPWF Char"/>
    <w:basedOn w:val="DefaultParagraphFont"/>
    <w:link w:val="TextBox-NPWF"/>
    <w:rsid w:val="0062072F"/>
    <w:rPr>
      <w:rFonts w:ascii="Segoe UI" w:hAnsi="Segoe UI"/>
      <w:b/>
      <w:color w:val="98002E"/>
      <w:sz w:val="24"/>
    </w:rPr>
  </w:style>
  <w:style w:type="paragraph" w:customStyle="1" w:styleId="FS-CalloutWithRules">
    <w:name w:val="FS-Callout With Rules"/>
    <w:basedOn w:val="Normal"/>
    <w:rsid w:val="00123115"/>
    <w:pPr>
      <w:widowControl w:val="0"/>
      <w:pBdr>
        <w:top w:val="single" w:sz="4" w:space="20" w:color="000000"/>
      </w:pBdr>
      <w:tabs>
        <w:tab w:val="left" w:pos="240"/>
        <w:tab w:val="left" w:pos="480"/>
      </w:tabs>
      <w:suppressAutoHyphens/>
      <w:autoSpaceDE w:val="0"/>
      <w:autoSpaceDN w:val="0"/>
      <w:adjustRightInd w:val="0"/>
      <w:textAlignment w:val="center"/>
    </w:pPr>
    <w:rPr>
      <w:rFonts w:ascii="Segoe UI" w:eastAsia="Times New Roman" w:hAnsi="Segoe UI" w:cs="TwCenMT-Bold"/>
      <w:b/>
      <w:bCs/>
      <w:color w:val="98002E"/>
      <w:spacing w:val="-5"/>
      <w:sz w:val="24"/>
      <w:szCs w:val="27"/>
      <w:lang w:bidi="en-US"/>
    </w:rPr>
  </w:style>
  <w:style w:type="character" w:customStyle="1" w:styleId="TextBoxCallout-NPWFChar">
    <w:name w:val="TextBox Callout - NPWF Char"/>
    <w:basedOn w:val="DefaultParagraphFont"/>
    <w:link w:val="TextBoxCallout-NPWF"/>
    <w:rsid w:val="0062072F"/>
    <w:rPr>
      <w:rFonts w:ascii="Segoe UI" w:hAnsi="Segoe UI"/>
      <w:b/>
      <w:color w:val="000000" w:themeColor="text1"/>
      <w:sz w:val="18"/>
    </w:rPr>
  </w:style>
  <w:style w:type="paragraph" w:customStyle="1" w:styleId="FS-CalloutAuthor">
    <w:name w:val="FS-Callout Author"/>
    <w:basedOn w:val="Normal"/>
    <w:rsid w:val="00123115"/>
    <w:pPr>
      <w:widowControl w:val="0"/>
      <w:pBdr>
        <w:bottom w:val="single" w:sz="4" w:space="12" w:color="000000"/>
      </w:pBdr>
      <w:tabs>
        <w:tab w:val="left" w:pos="240"/>
        <w:tab w:val="left" w:pos="480"/>
      </w:tabs>
      <w:suppressAutoHyphens/>
      <w:autoSpaceDE w:val="0"/>
      <w:autoSpaceDN w:val="0"/>
      <w:adjustRightInd w:val="0"/>
      <w:spacing w:before="160"/>
      <w:textAlignment w:val="center"/>
    </w:pPr>
    <w:rPr>
      <w:rFonts w:ascii="Segoe UI" w:eastAsia="Times New Roman" w:hAnsi="Segoe UI" w:cs="TwCenMT-Bold"/>
      <w:b/>
      <w:bCs/>
      <w:color w:val="000000"/>
      <w:spacing w:val="-3"/>
      <w:sz w:val="18"/>
      <w:szCs w:val="18"/>
      <w:lang w:bidi="en-US"/>
    </w:rPr>
  </w:style>
  <w:style w:type="paragraph" w:styleId="EndnoteText">
    <w:name w:val="endnote text"/>
    <w:basedOn w:val="BodyText"/>
    <w:link w:val="EndnoteTextChar"/>
    <w:uiPriority w:val="99"/>
    <w:unhideWhenUsed/>
    <w:rsid w:val="001E178C"/>
    <w:pPr>
      <w:spacing w:after="40"/>
    </w:pPr>
    <w:rPr>
      <w:rFonts w:ascii="Segoe UI" w:hAnsi="Segoe UI"/>
      <w:position w:val="6"/>
      <w:sz w:val="12"/>
      <w:szCs w:val="20"/>
    </w:rPr>
  </w:style>
  <w:style w:type="character" w:customStyle="1" w:styleId="EndnoteTextChar">
    <w:name w:val="Endnote Text Char"/>
    <w:basedOn w:val="DefaultParagraphFont"/>
    <w:link w:val="EndnoteText"/>
    <w:uiPriority w:val="99"/>
    <w:rsid w:val="001E178C"/>
    <w:rPr>
      <w:rFonts w:ascii="Segoe UI" w:eastAsiaTheme="minorEastAsia" w:hAnsi="Segoe UI"/>
      <w:position w:val="6"/>
      <w:sz w:val="12"/>
      <w:szCs w:val="20"/>
    </w:rPr>
  </w:style>
  <w:style w:type="character" w:styleId="EndnoteReference">
    <w:name w:val="endnote reference"/>
    <w:basedOn w:val="DefaultParagraphFont"/>
    <w:uiPriority w:val="99"/>
    <w:unhideWhenUsed/>
    <w:rsid w:val="00B47BA5"/>
    <w:rPr>
      <w:rFonts w:ascii="Segoe UI" w:hAnsi="Segoe UI"/>
      <w:b w:val="0"/>
      <w:i w:val="0"/>
      <w:vanish w:val="0"/>
      <w:spacing w:val="0"/>
      <w:w w:val="100"/>
      <w:position w:val="6"/>
      <w:sz w:val="12"/>
      <w:vertAlign w:val="baseline"/>
    </w:rPr>
  </w:style>
  <w:style w:type="paragraph" w:styleId="NoSpacing">
    <w:name w:val="No Spacing"/>
    <w:uiPriority w:val="1"/>
    <w:rsid w:val="001E178C"/>
    <w:rPr>
      <w:rFonts w:eastAsiaTheme="minorEastAsia"/>
    </w:rPr>
  </w:style>
  <w:style w:type="paragraph" w:styleId="BodyText">
    <w:name w:val="Body Text"/>
    <w:basedOn w:val="Normal"/>
    <w:link w:val="BodyTextChar"/>
    <w:uiPriority w:val="99"/>
    <w:semiHidden/>
    <w:unhideWhenUsed/>
    <w:rsid w:val="001E178C"/>
    <w:pPr>
      <w:spacing w:after="120"/>
    </w:pPr>
  </w:style>
  <w:style w:type="character" w:customStyle="1" w:styleId="BodyTextChar">
    <w:name w:val="Body Text Char"/>
    <w:basedOn w:val="DefaultParagraphFont"/>
    <w:link w:val="BodyText"/>
    <w:uiPriority w:val="99"/>
    <w:semiHidden/>
    <w:rsid w:val="001E178C"/>
    <w:rPr>
      <w:rFonts w:eastAsiaTheme="minorEastAsia"/>
    </w:rPr>
  </w:style>
  <w:style w:type="numbering" w:customStyle="1" w:styleId="NPBullets">
    <w:name w:val="NP Bullets"/>
    <w:uiPriority w:val="99"/>
    <w:rsid w:val="00A8192A"/>
    <w:pPr>
      <w:numPr>
        <w:numId w:val="16"/>
      </w:numPr>
    </w:pPr>
  </w:style>
  <w:style w:type="character" w:styleId="CommentReference">
    <w:name w:val="annotation reference"/>
    <w:basedOn w:val="DefaultParagraphFont"/>
    <w:uiPriority w:val="99"/>
    <w:semiHidden/>
    <w:unhideWhenUsed/>
    <w:rsid w:val="0033557C"/>
    <w:rPr>
      <w:sz w:val="16"/>
      <w:szCs w:val="16"/>
    </w:rPr>
  </w:style>
  <w:style w:type="paragraph" w:styleId="CommentText">
    <w:name w:val="annotation text"/>
    <w:basedOn w:val="Normal"/>
    <w:link w:val="CommentTextChar"/>
    <w:uiPriority w:val="99"/>
    <w:semiHidden/>
    <w:unhideWhenUsed/>
    <w:rsid w:val="0033557C"/>
    <w:rPr>
      <w:sz w:val="20"/>
      <w:szCs w:val="20"/>
    </w:rPr>
  </w:style>
  <w:style w:type="character" w:customStyle="1" w:styleId="CommentTextChar">
    <w:name w:val="Comment Text Char"/>
    <w:basedOn w:val="DefaultParagraphFont"/>
    <w:link w:val="CommentText"/>
    <w:uiPriority w:val="99"/>
    <w:semiHidden/>
    <w:rsid w:val="0033557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3557C"/>
    <w:rPr>
      <w:b/>
      <w:bCs/>
    </w:rPr>
  </w:style>
  <w:style w:type="character" w:customStyle="1" w:styleId="CommentSubjectChar">
    <w:name w:val="Comment Subject Char"/>
    <w:basedOn w:val="CommentTextChar"/>
    <w:link w:val="CommentSubject"/>
    <w:uiPriority w:val="99"/>
    <w:semiHidden/>
    <w:rsid w:val="0033557C"/>
    <w:rPr>
      <w:rFonts w:eastAsiaTheme="minorEastAsia"/>
      <w:b/>
      <w:bCs/>
      <w:sz w:val="20"/>
      <w:szCs w:val="20"/>
    </w:rPr>
  </w:style>
  <w:style w:type="paragraph" w:styleId="BalloonText">
    <w:name w:val="Balloon Text"/>
    <w:basedOn w:val="Normal"/>
    <w:link w:val="BalloonTextChar"/>
    <w:uiPriority w:val="99"/>
    <w:semiHidden/>
    <w:unhideWhenUsed/>
    <w:rsid w:val="0033557C"/>
    <w:rPr>
      <w:rFonts w:ascii="Tahoma" w:hAnsi="Tahoma" w:cs="Tahoma"/>
      <w:sz w:val="16"/>
      <w:szCs w:val="16"/>
    </w:rPr>
  </w:style>
  <w:style w:type="character" w:customStyle="1" w:styleId="BalloonTextChar">
    <w:name w:val="Balloon Text Char"/>
    <w:basedOn w:val="DefaultParagraphFont"/>
    <w:link w:val="BalloonText"/>
    <w:uiPriority w:val="99"/>
    <w:semiHidden/>
    <w:rsid w:val="0033557C"/>
    <w:rPr>
      <w:rFonts w:ascii="Tahoma" w:eastAsiaTheme="minorEastAsia" w:hAnsi="Tahoma" w:cs="Tahoma"/>
      <w:sz w:val="16"/>
      <w:szCs w:val="16"/>
    </w:rPr>
  </w:style>
  <w:style w:type="character" w:styleId="Hyperlink">
    <w:name w:val="Hyperlink"/>
    <w:basedOn w:val="DefaultParagraphFont"/>
    <w:uiPriority w:val="99"/>
    <w:unhideWhenUsed/>
    <w:rsid w:val="00E819B1"/>
    <w:rPr>
      <w:color w:val="0000FF" w:themeColor="hyperlink"/>
      <w:u w:val="single"/>
    </w:rPr>
  </w:style>
  <w:style w:type="paragraph" w:styleId="Header">
    <w:name w:val="header"/>
    <w:basedOn w:val="Normal"/>
    <w:link w:val="HeaderChar"/>
    <w:uiPriority w:val="99"/>
    <w:unhideWhenUsed/>
    <w:rsid w:val="00E72EE8"/>
    <w:pPr>
      <w:tabs>
        <w:tab w:val="center" w:pos="4680"/>
        <w:tab w:val="right" w:pos="9360"/>
      </w:tabs>
    </w:pPr>
  </w:style>
  <w:style w:type="character" w:customStyle="1" w:styleId="HeaderChar">
    <w:name w:val="Header Char"/>
    <w:basedOn w:val="DefaultParagraphFont"/>
    <w:link w:val="Header"/>
    <w:uiPriority w:val="99"/>
    <w:rsid w:val="00E72EE8"/>
    <w:rPr>
      <w:rFonts w:eastAsiaTheme="minorEastAsia"/>
    </w:rPr>
  </w:style>
  <w:style w:type="paragraph" w:styleId="Footer">
    <w:name w:val="footer"/>
    <w:basedOn w:val="Normal"/>
    <w:link w:val="FooterChar"/>
    <w:unhideWhenUsed/>
    <w:rsid w:val="00E72EE8"/>
    <w:pPr>
      <w:tabs>
        <w:tab w:val="center" w:pos="4680"/>
        <w:tab w:val="right" w:pos="9360"/>
      </w:tabs>
    </w:pPr>
  </w:style>
  <w:style w:type="character" w:customStyle="1" w:styleId="FooterChar">
    <w:name w:val="Footer Char"/>
    <w:basedOn w:val="DefaultParagraphFont"/>
    <w:link w:val="Footer"/>
    <w:rsid w:val="00E72EE8"/>
    <w:rPr>
      <w:rFonts w:eastAsiaTheme="minorEastAsia"/>
    </w:rPr>
  </w:style>
  <w:style w:type="character" w:customStyle="1" w:styleId="FS-EndnoteText">
    <w:name w:val="FS-Endnote Text"/>
    <w:rsid w:val="00E72EE8"/>
    <w:rPr>
      <w:rFonts w:ascii="Segoe UI" w:hAnsi="Segoe UI"/>
      <w:spacing w:val="0"/>
      <w:w w:val="100"/>
      <w:position w:val="6"/>
      <w:sz w:val="9"/>
    </w:rPr>
  </w:style>
  <w:style w:type="character" w:styleId="PageNumber">
    <w:name w:val="page number"/>
    <w:basedOn w:val="DefaultParagraphFont"/>
    <w:rsid w:val="00E72EE8"/>
    <w:rPr>
      <w:rFonts w:ascii="Segoe UI" w:hAnsi="Segoe UI"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upremecourt.gov/opinions/13pdf/13-354_olp1.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PWF Color Scheme">
      <a:dk1>
        <a:sysClr val="windowText" lastClr="000000"/>
      </a:dk1>
      <a:lt1>
        <a:sysClr val="window" lastClr="FFFFFF"/>
      </a:lt1>
      <a:dk2>
        <a:srgbClr val="EE6B24"/>
      </a:dk2>
      <a:lt2>
        <a:srgbClr val="D31145"/>
      </a:lt2>
      <a:accent1>
        <a:srgbClr val="98002E"/>
      </a:accent1>
      <a:accent2>
        <a:srgbClr val="EA9995"/>
      </a:accent2>
      <a:accent3>
        <a:srgbClr val="E7E0D8"/>
      </a:accent3>
      <a:accent4>
        <a:srgbClr val="D0C6B7"/>
      </a:accent4>
      <a:accent5>
        <a:srgbClr val="9D9FA2"/>
      </a:accent5>
      <a:accent6>
        <a:srgbClr val="636466"/>
      </a:accent6>
      <a:hlink>
        <a:srgbClr val="0000FF"/>
      </a:hlink>
      <a:folHlink>
        <a:srgbClr val="98002E"/>
      </a:folHlink>
    </a:clrScheme>
    <a:fontScheme name="NPWF">
      <a:majorFont>
        <a:latin typeface="Segoe UI"/>
        <a:ea typeface=""/>
        <a:cs typeface=""/>
      </a:majorFont>
      <a:minorFont>
        <a:latin typeface="Century School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bodyPr rot="0" vert="horz" wrap="square" lIns="0" tIns="0" rIns="0" bIns="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0A450-7D02-45C3-9447-AA4DA2A52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Lipton-Lubet</dc:creator>
  <cp:lastModifiedBy>Jennifer Gardiner</cp:lastModifiedBy>
  <cp:revision>2</cp:revision>
  <cp:lastPrinted>2014-07-01T16:20:00Z</cp:lastPrinted>
  <dcterms:created xsi:type="dcterms:W3CDTF">2014-07-01T22:16:00Z</dcterms:created>
  <dcterms:modified xsi:type="dcterms:W3CDTF">2014-07-01T22:16:00Z</dcterms:modified>
</cp:coreProperties>
</file>